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7C" w:rsidRDefault="004A798C">
      <w:r>
        <w:rPr>
          <w:rFonts w:ascii="Times New Roman" w:eastAsia="Times New Roman" w:hAnsi="Times New Roman" w:cs="Times New Roman"/>
          <w:noProof/>
          <w:lang w:val="en-US" w:eastAsia="en-US"/>
        </w:rPr>
        <w:drawing>
          <wp:anchor distT="0" distB="0" distL="114300" distR="114300" simplePos="0" relativeHeight="251656704" behindDoc="1" locked="0" layoutInCell="1" allowOverlap="1">
            <wp:simplePos x="0" y="0"/>
            <wp:positionH relativeFrom="column">
              <wp:posOffset>118514</wp:posOffset>
            </wp:positionH>
            <wp:positionV relativeFrom="paragraph">
              <wp:posOffset>-310977</wp:posOffset>
            </wp:positionV>
            <wp:extent cx="5764542" cy="1311910"/>
            <wp:effectExtent l="0" t="0" r="7620" b="254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4542" cy="1311910"/>
                    </a:xfrm>
                    <a:prstGeom prst="rect">
                      <a:avLst/>
                    </a:prstGeom>
                    <a:solidFill>
                      <a:srgbClr val="FFFFFF"/>
                    </a:solidFill>
                    <a:ln>
                      <a:noFill/>
                    </a:ln>
                  </pic:spPr>
                </pic:pic>
              </a:graphicData>
            </a:graphic>
          </wp:anchor>
        </w:drawing>
      </w:r>
    </w:p>
    <w:p w:rsidR="00B82FE5" w:rsidRDefault="00B82FE5"/>
    <w:p w:rsidR="00B82FE5" w:rsidRDefault="00B82FE5"/>
    <w:p w:rsidR="00B82FE5" w:rsidRDefault="00437E5A">
      <w:r w:rsidRPr="00437E5A">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Zone de texte 9" o:spid="_x0000_s1026" type="#_x0000_t202" style="position:absolute;margin-left:48pt;margin-top:113.2pt;width:453.15pt;height:26pt;z-index:-251657728;visibility:visible;mso-wrap-distance-left:9.05pt;mso-wrap-distance-right:9.05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" stroked="f">
            <v:fill opacity="0"/>
            <v:textbox inset="0,0,0,0">
              <w:txbxContent>
                <w:p w:rsidR="005F0260" w:rsidRDefault="005F0260" w:rsidP="004A798C">
                  <w:pPr>
                    <w:spacing w:line="270" w:lineRule="exact"/>
                    <w:jc w:val="center"/>
                    <w:rPr>
                      <w:rFonts w:ascii="Arial" w:hAnsi="Arial" w:cs="Arial"/>
                      <w:b/>
                      <w:bCs/>
                      <w:color w:val="4FA76E"/>
                      <w:spacing w:val="518"/>
                      <w:sz w:val="26"/>
                      <w:szCs w:val="26"/>
                    </w:rPr>
                  </w:pPr>
                  <w:r>
                    <w:rPr>
                      <w:rFonts w:ascii="Arial" w:hAnsi="Arial" w:cs="Arial"/>
                      <w:b/>
                      <w:bCs/>
                      <w:color w:val="4FA76E"/>
                      <w:sz w:val="26"/>
                      <w:szCs w:val="26"/>
                    </w:rPr>
                    <w:t>OBAVEŠTENJE ZA JAVNOST</w:t>
                  </w:r>
                </w:p>
              </w:txbxContent>
            </v:textbox>
            <w10:wrap anchory="page"/>
          </v:shape>
        </w:pict>
      </w:r>
    </w:p>
    <w:p w:rsidR="00067F4C" w:rsidRDefault="00067F4C" w:rsidP="00B82FE5">
      <w:pPr>
        <w:rPr>
          <w:rFonts w:ascii="Arial" w:hAnsi="Arial" w:cs="Arial"/>
          <w:bCs/>
          <w:color w:val="000000"/>
          <w:sz w:val="20"/>
          <w:szCs w:val="20"/>
        </w:rPr>
      </w:pPr>
    </w:p>
    <w:p w:rsidR="004A798C" w:rsidRDefault="00067F4C" w:rsidP="00616A1A">
      <w:pPr>
        <w:rPr>
          <w:rFonts w:ascii="Arial" w:hAnsi="Arial" w:cs="Arial"/>
          <w:bCs/>
          <w:color w:val="000000"/>
          <w:sz w:val="20"/>
          <w:szCs w:val="20"/>
        </w:rPr>
      </w:pPr>
      <w:r>
        <w:tab/>
      </w:r>
    </w:p>
    <w:p w:rsidR="004A798C" w:rsidRDefault="004A798C" w:rsidP="00616A1A">
      <w:pPr>
        <w:rPr>
          <w:rFonts w:ascii="Arial" w:hAnsi="Arial" w:cs="Arial"/>
          <w:bCs/>
          <w:color w:val="000000"/>
          <w:sz w:val="20"/>
          <w:szCs w:val="20"/>
        </w:rPr>
      </w:pPr>
    </w:p>
    <w:p w:rsidR="004A798C" w:rsidRDefault="004A798C" w:rsidP="00616A1A">
      <w:pPr>
        <w:rPr>
          <w:rFonts w:ascii="Arial" w:hAnsi="Arial" w:cs="Arial"/>
          <w:bCs/>
          <w:color w:val="000000"/>
          <w:sz w:val="20"/>
          <w:szCs w:val="20"/>
        </w:rPr>
      </w:pPr>
    </w:p>
    <w:p w:rsidR="004A798C" w:rsidRDefault="004A798C" w:rsidP="00616A1A">
      <w:pPr>
        <w:rPr>
          <w:rFonts w:ascii="Arial" w:hAnsi="Arial" w:cs="Arial"/>
          <w:bCs/>
          <w:color w:val="000000"/>
          <w:sz w:val="20"/>
          <w:szCs w:val="20"/>
        </w:rPr>
      </w:pPr>
    </w:p>
    <w:p w:rsidR="00E1453F" w:rsidRPr="00616A1A" w:rsidRDefault="004A798C" w:rsidP="004A798C">
      <w:pPr>
        <w:tabs>
          <w:tab w:val="left" w:pos="1134"/>
        </w:tabs>
        <w:rPr>
          <w:rFonts w:ascii="Arial" w:hAnsi="Arial" w:cs="Arial"/>
          <w:bCs/>
          <w:color w:val="000000"/>
          <w:sz w:val="20"/>
          <w:szCs w:val="20"/>
        </w:rPr>
      </w:pPr>
      <w:r>
        <w:rPr>
          <w:rFonts w:ascii="Arial" w:hAnsi="Arial" w:cs="Arial"/>
          <w:color w:val="000000"/>
          <w:sz w:val="20"/>
          <w:szCs w:val="20"/>
        </w:rPr>
        <w:tab/>
        <w:t>Pariz, 9 februar, 2016.</w:t>
      </w:r>
    </w:p>
    <w:p w:rsidR="00B4308D" w:rsidRPr="00141E28" w:rsidRDefault="00B4308D" w:rsidP="00FD73DC">
      <w:pPr>
        <w:spacing w:line="270" w:lineRule="exact"/>
        <w:ind w:right="-121"/>
        <w:rPr>
          <w:rFonts w:ascii="Arial" w:hAnsi="Arial" w:cs="Arial"/>
          <w:b/>
          <w:bCs/>
          <w:color w:val="000000"/>
          <w:sz w:val="20"/>
          <w:szCs w:val="20"/>
        </w:rPr>
      </w:pPr>
    </w:p>
    <w:p w:rsidR="00D8441E" w:rsidRPr="00141E28" w:rsidRDefault="00D8441E" w:rsidP="00FD73DC">
      <w:pPr>
        <w:spacing w:line="270" w:lineRule="exact"/>
        <w:ind w:right="-121"/>
        <w:rPr>
          <w:rFonts w:ascii="Arial" w:hAnsi="Arial" w:cs="Arial"/>
          <w:b/>
          <w:bCs/>
          <w:color w:val="000000"/>
          <w:sz w:val="20"/>
          <w:szCs w:val="20"/>
        </w:rPr>
      </w:pPr>
    </w:p>
    <w:p w:rsidR="00B82FE5" w:rsidRPr="00141E28" w:rsidRDefault="00E1453F" w:rsidP="0058360E">
      <w:pPr>
        <w:spacing w:line="276" w:lineRule="auto"/>
        <w:ind w:left="1134" w:right="-121"/>
        <w:rPr>
          <w:rFonts w:ascii="Arial" w:hAnsi="Arial" w:cs="Arial"/>
          <w:b/>
          <w:bCs/>
          <w:color w:val="000000"/>
          <w:sz w:val="26"/>
          <w:szCs w:val="26"/>
        </w:rPr>
      </w:pPr>
      <w:r>
        <w:rPr>
          <w:rFonts w:ascii="Arial" w:hAnsi="Arial" w:cs="Arial"/>
          <w:color w:val="000000"/>
          <w:sz w:val="26"/>
          <w:szCs w:val="26"/>
        </w:rPr>
        <w:t>Rezultati kompanije Coface za 2015. godinu: neto prihod 126M €, a predložene dividende stabilne na 0,48 € po akciji</w:t>
      </w:r>
      <w:r>
        <w:rPr>
          <w:rFonts w:ascii="Arial" w:hAnsi="Arial" w:cs="Arial"/>
          <w:color w:val="000000"/>
          <w:sz w:val="26"/>
          <w:szCs w:val="26"/>
          <w:vertAlign w:val="superscript"/>
        </w:rPr>
        <w:t>5</w:t>
      </w:r>
    </w:p>
    <w:p w:rsidR="00416E27" w:rsidRDefault="00416E27" w:rsidP="004A798C">
      <w:pPr>
        <w:spacing w:line="270" w:lineRule="exact"/>
        <w:ind w:left="1134" w:right="-121"/>
        <w:rPr>
          <w:rFonts w:ascii="Arial" w:hAnsi="Arial" w:cs="Arial"/>
          <w:b/>
          <w:bCs/>
          <w:color w:val="000000"/>
          <w:sz w:val="20"/>
          <w:szCs w:val="20"/>
        </w:rPr>
      </w:pPr>
    </w:p>
    <w:p w:rsidR="00B4308D" w:rsidRDefault="00B4308D" w:rsidP="004A798C">
      <w:pPr>
        <w:spacing w:line="270" w:lineRule="exact"/>
        <w:ind w:left="1134" w:right="-121"/>
        <w:rPr>
          <w:rFonts w:ascii="Arial" w:hAnsi="Arial" w:cs="Arial"/>
          <w:b/>
          <w:bCs/>
          <w:color w:val="000000"/>
          <w:sz w:val="20"/>
          <w:szCs w:val="20"/>
        </w:rPr>
      </w:pPr>
    </w:p>
    <w:p w:rsidR="00B4308D" w:rsidRPr="00416E27" w:rsidRDefault="00B4308D" w:rsidP="004A798C">
      <w:pPr>
        <w:spacing w:line="270" w:lineRule="exact"/>
        <w:ind w:left="1134" w:right="-121"/>
        <w:rPr>
          <w:rFonts w:ascii="Arial" w:hAnsi="Arial" w:cs="Arial"/>
          <w:b/>
          <w:bCs/>
          <w:color w:val="000000"/>
          <w:sz w:val="20"/>
          <w:szCs w:val="20"/>
        </w:rPr>
      </w:pPr>
    </w:p>
    <w:p w:rsidR="00B82FE5" w:rsidRPr="00141E28" w:rsidRDefault="00416E27" w:rsidP="004A798C">
      <w:pPr>
        <w:numPr>
          <w:ilvl w:val="0"/>
          <w:numId w:val="1"/>
        </w:numPr>
        <w:tabs>
          <w:tab w:val="clear" w:pos="792"/>
        </w:tabs>
        <w:suppressAutoHyphens/>
        <w:spacing w:after="80" w:line="276" w:lineRule="auto"/>
        <w:ind w:left="1134" w:hanging="357"/>
        <w:rPr>
          <w:rFonts w:ascii="Arial" w:hAnsi="Arial" w:cs="Arial"/>
          <w:bCs/>
          <w:color w:val="000000"/>
          <w:sz w:val="22"/>
          <w:szCs w:val="22"/>
        </w:rPr>
      </w:pPr>
      <w:r>
        <w:rPr>
          <w:rFonts w:ascii="Arial" w:hAnsi="Arial" w:cs="Arial"/>
          <w:color w:val="000000"/>
          <w:sz w:val="22"/>
          <w:szCs w:val="22"/>
        </w:rPr>
        <w:t xml:space="preserve">Rast prometa: 3,4% uz trenutni obim aktivnosti i devizni kurs </w:t>
      </w:r>
      <w:r>
        <w:rPr>
          <w:rFonts w:ascii="Arial" w:hAnsi="Arial" w:cs="Arial"/>
          <w:color w:val="000000"/>
          <w:sz w:val="22"/>
          <w:szCs w:val="22"/>
        </w:rPr>
        <w:br/>
        <w:t>(+1,2% uz nepromenjeni obim aktivnosti i devizni kurs)</w:t>
      </w:r>
    </w:p>
    <w:p w:rsidR="00533883" w:rsidRPr="00141E28" w:rsidRDefault="00BC3E22" w:rsidP="004A798C">
      <w:pPr>
        <w:numPr>
          <w:ilvl w:val="0"/>
          <w:numId w:val="1"/>
        </w:numPr>
        <w:tabs>
          <w:tab w:val="clear" w:pos="792"/>
        </w:tabs>
        <w:suppressAutoHyphens/>
        <w:spacing w:after="80" w:line="276" w:lineRule="auto"/>
        <w:ind w:left="1134" w:hanging="357"/>
        <w:rPr>
          <w:rFonts w:ascii="Arial" w:hAnsi="Arial" w:cs="Arial"/>
          <w:bCs/>
          <w:color w:val="000000"/>
          <w:sz w:val="22"/>
          <w:szCs w:val="22"/>
        </w:rPr>
      </w:pPr>
      <w:r>
        <w:rPr>
          <w:rFonts w:ascii="Arial" w:hAnsi="Arial" w:cs="Arial"/>
          <w:color w:val="000000"/>
          <w:sz w:val="22"/>
          <w:szCs w:val="22"/>
        </w:rPr>
        <w:t>Racio šteta nakon reosiguranja stabilizovao se tokom proteklih šest meseci; kombinovani racio iznosi 83,1%</w:t>
      </w:r>
    </w:p>
    <w:p w:rsidR="00B82FE5" w:rsidRPr="00141E28" w:rsidRDefault="00BC3E22" w:rsidP="004A798C">
      <w:pPr>
        <w:numPr>
          <w:ilvl w:val="0"/>
          <w:numId w:val="1"/>
        </w:numPr>
        <w:tabs>
          <w:tab w:val="clear" w:pos="792"/>
        </w:tabs>
        <w:suppressAutoHyphens/>
        <w:spacing w:after="80" w:line="276" w:lineRule="auto"/>
        <w:ind w:left="1134" w:hanging="357"/>
        <w:rPr>
          <w:rFonts w:ascii="Arial" w:hAnsi="Arial" w:cs="Arial"/>
          <w:bCs/>
          <w:color w:val="000000"/>
          <w:sz w:val="22"/>
          <w:szCs w:val="22"/>
        </w:rPr>
      </w:pPr>
      <w:r>
        <w:rPr>
          <w:rFonts w:ascii="Arial" w:hAnsi="Arial" w:cs="Arial"/>
          <w:color w:val="000000"/>
          <w:sz w:val="22"/>
          <w:szCs w:val="22"/>
        </w:rPr>
        <w:t>Neto prihod (udeo grupe): 126M € za 2015. godinu, od čega je 28M € u četvrtom kvartalu</w:t>
      </w:r>
    </w:p>
    <w:p w:rsidR="002D41F0" w:rsidRPr="00141E28" w:rsidRDefault="00BC3E22" w:rsidP="004A798C">
      <w:pPr>
        <w:numPr>
          <w:ilvl w:val="0"/>
          <w:numId w:val="1"/>
        </w:numPr>
        <w:tabs>
          <w:tab w:val="clear" w:pos="792"/>
        </w:tabs>
        <w:suppressAutoHyphens/>
        <w:spacing w:after="80" w:line="276" w:lineRule="auto"/>
        <w:ind w:left="1134" w:hanging="357"/>
        <w:rPr>
          <w:rFonts w:ascii="Arial" w:hAnsi="Arial" w:cs="Arial"/>
          <w:bCs/>
          <w:color w:val="000000"/>
          <w:sz w:val="22"/>
          <w:szCs w:val="22"/>
        </w:rPr>
      </w:pPr>
      <w:r>
        <w:rPr>
          <w:rFonts w:ascii="Arial" w:hAnsi="Arial" w:cs="Arial"/>
          <w:color w:val="000000"/>
          <w:sz w:val="22"/>
          <w:szCs w:val="22"/>
        </w:rPr>
        <w:t>Stabilan neto prihod po akciji od 0.80 €, stopa raspodele</w:t>
      </w:r>
      <w:r>
        <w:rPr>
          <w:rFonts w:ascii="Arial" w:hAnsi="Arial" w:cs="Arial"/>
          <w:color w:val="000000"/>
          <w:sz w:val="22"/>
          <w:szCs w:val="22"/>
          <w:vertAlign w:val="superscript"/>
        </w:rPr>
        <w:t>5</w:t>
      </w:r>
      <w:r>
        <w:rPr>
          <w:rFonts w:ascii="Arial" w:hAnsi="Arial" w:cs="Arial"/>
          <w:color w:val="000000"/>
          <w:sz w:val="22"/>
          <w:szCs w:val="22"/>
        </w:rPr>
        <w:t xml:space="preserve"> 60% neto prihoda</w:t>
      </w:r>
    </w:p>
    <w:p w:rsidR="00E1453F" w:rsidRPr="00E1453F" w:rsidRDefault="00B77514" w:rsidP="004A798C">
      <w:pPr>
        <w:numPr>
          <w:ilvl w:val="0"/>
          <w:numId w:val="1"/>
        </w:numPr>
        <w:tabs>
          <w:tab w:val="clear" w:pos="792"/>
        </w:tabs>
        <w:suppressAutoHyphens/>
        <w:spacing w:after="80" w:line="276" w:lineRule="auto"/>
        <w:ind w:left="1134" w:hanging="357"/>
        <w:rPr>
          <w:rFonts w:ascii="Arial" w:hAnsi="Arial" w:cs="Arial"/>
          <w:bCs/>
          <w:i/>
          <w:color w:val="000000"/>
          <w:sz w:val="16"/>
          <w:szCs w:val="16"/>
        </w:rPr>
      </w:pPr>
      <w:r>
        <w:rPr>
          <w:rFonts w:ascii="Arial" w:hAnsi="Arial" w:cs="Arial"/>
          <w:color w:val="000000"/>
          <w:sz w:val="22"/>
          <w:szCs w:val="22"/>
        </w:rPr>
        <w:t>Xavier Durand je od danas napoziciji generalnog direktora</w:t>
      </w:r>
      <w:r>
        <w:rPr>
          <w:rFonts w:ascii="Arial" w:hAnsi="Arial" w:cs="Arial"/>
          <w:color w:val="000000"/>
          <w:sz w:val="20"/>
          <w:szCs w:val="20"/>
        </w:rPr>
        <w:br/>
      </w:r>
    </w:p>
    <w:p w:rsidR="00B82FE5" w:rsidRPr="006C51EF" w:rsidRDefault="00BC3E22" w:rsidP="006C51EF">
      <w:pPr>
        <w:suppressAutoHyphens/>
        <w:spacing w:line="276" w:lineRule="auto"/>
        <w:ind w:left="1134"/>
        <w:jc w:val="right"/>
        <w:rPr>
          <w:rFonts w:ascii="Arial" w:hAnsi="Arial" w:cs="Arial"/>
          <w:bCs/>
          <w:i/>
          <w:color w:val="000000"/>
          <w:sz w:val="16"/>
          <w:szCs w:val="22"/>
        </w:rPr>
      </w:pPr>
      <w:r>
        <w:rPr>
          <w:rFonts w:ascii="Arial" w:hAnsi="Arial" w:cs="Arial"/>
          <w:i/>
          <w:iCs/>
          <w:color w:val="000000"/>
          <w:sz w:val="16"/>
          <w:szCs w:val="22"/>
        </w:rPr>
        <w:t>Ukoliko nije drugačije naznačeno, varijacije su izražene u poređenju sa rezultatima od 31. decembra 2014.</w:t>
      </w:r>
      <w:r>
        <w:rPr>
          <w:rFonts w:ascii="Arial" w:hAnsi="Arial" w:cs="Arial"/>
          <w:color w:val="000000"/>
          <w:sz w:val="16"/>
          <w:szCs w:val="22"/>
        </w:rPr>
        <w:br/>
      </w:r>
      <w:r>
        <w:rPr>
          <w:rFonts w:ascii="Arial" w:hAnsi="Arial" w:cs="Arial"/>
          <w:i/>
          <w:iCs/>
          <w:color w:val="000000"/>
          <w:sz w:val="16"/>
          <w:szCs w:val="16"/>
        </w:rPr>
        <w:t xml:space="preserve">Objavljeni rezultati za 2014. su korigovani da bi se uzeo u obzir uticaj </w:t>
      </w:r>
      <w:r>
        <w:rPr>
          <w:rFonts w:ascii="Arial" w:hAnsi="Arial" w:cs="Arial"/>
          <w:i/>
          <w:iCs/>
          <w:color w:val="000000"/>
          <w:sz w:val="16"/>
          <w:szCs w:val="22"/>
        </w:rPr>
        <w:t>IFRIC 21</w:t>
      </w:r>
    </w:p>
    <w:p w:rsidR="006C51EF" w:rsidRPr="006C51EF" w:rsidRDefault="006C51EF" w:rsidP="006C51EF">
      <w:pPr>
        <w:suppressAutoHyphens/>
        <w:spacing w:line="276" w:lineRule="auto"/>
        <w:ind w:left="1134"/>
        <w:jc w:val="right"/>
        <w:rPr>
          <w:rFonts w:ascii="Arial" w:hAnsi="Arial" w:cs="Arial"/>
          <w:bCs/>
          <w:i/>
          <w:color w:val="000000"/>
          <w:sz w:val="16"/>
          <w:szCs w:val="22"/>
        </w:rPr>
      </w:pPr>
      <w:r>
        <w:rPr>
          <w:rFonts w:ascii="Arial" w:hAnsi="Arial" w:cs="Arial"/>
          <w:i/>
          <w:iCs/>
          <w:color w:val="000000"/>
          <w:sz w:val="16"/>
          <w:szCs w:val="22"/>
        </w:rPr>
        <w:t>Godišnji rezultati za 2014. korigovani iz IFRIC 21 ekvivalentni su rezultatima objavljenim 2014. godine</w:t>
      </w:r>
    </w:p>
    <w:p w:rsidR="00380F47" w:rsidRPr="006C51EF" w:rsidRDefault="00380F47" w:rsidP="00B82FE5">
      <w:pPr>
        <w:spacing w:line="276" w:lineRule="auto"/>
        <w:ind w:left="360"/>
        <w:jc w:val="right"/>
        <w:rPr>
          <w:rFonts w:ascii="Arial" w:hAnsi="Arial" w:cs="Arial"/>
          <w:bCs/>
          <w:i/>
          <w:color w:val="000000"/>
          <w:sz w:val="16"/>
          <w:szCs w:val="22"/>
        </w:rPr>
      </w:pPr>
    </w:p>
    <w:p w:rsidR="00E1453F" w:rsidRPr="00857839" w:rsidRDefault="00E1453F" w:rsidP="004C2FE8">
      <w:pPr>
        <w:jc w:val="both"/>
        <w:rPr>
          <w:rFonts w:ascii="Arial" w:hAnsi="Arial" w:cs="Arial"/>
          <w:bCs/>
          <w:color w:val="000000"/>
          <w:sz w:val="19"/>
          <w:szCs w:val="19"/>
        </w:rPr>
      </w:pPr>
    </w:p>
    <w:p w:rsidR="00E1453F" w:rsidRPr="00857839" w:rsidRDefault="00E1453F" w:rsidP="004C2FE8">
      <w:pPr>
        <w:jc w:val="both"/>
        <w:rPr>
          <w:rFonts w:ascii="Arial" w:hAnsi="Arial" w:cs="Arial"/>
          <w:bCs/>
          <w:color w:val="000000"/>
          <w:sz w:val="19"/>
          <w:szCs w:val="19"/>
        </w:rPr>
      </w:pPr>
    </w:p>
    <w:p w:rsidR="00616A1A" w:rsidRPr="004A798C" w:rsidRDefault="00BA7780" w:rsidP="00141E28">
      <w:pPr>
        <w:spacing w:line="270" w:lineRule="exact"/>
        <w:ind w:left="851"/>
        <w:jc w:val="both"/>
        <w:rPr>
          <w:rFonts w:ascii="Arial" w:hAnsi="Arial" w:cs="Arial"/>
          <w:bCs/>
          <w:color w:val="000000"/>
          <w:sz w:val="20"/>
          <w:szCs w:val="19"/>
        </w:rPr>
      </w:pPr>
      <w:r>
        <w:rPr>
          <w:rFonts w:ascii="Arial" w:hAnsi="Arial" w:cs="Arial"/>
          <w:color w:val="000000"/>
          <w:sz w:val="20"/>
          <w:szCs w:val="19"/>
        </w:rPr>
        <w:t>Na kraju 2015. godine, obeležene pogoršanjem u globalnom ekonomskom okruženju, Coface beleži blagi porast neto prihoda (udeo grupe), od 126M € (125M € u 2014.). Promet za tu godinu porastao je za 3,4% (+1,2% uz nepromenjeni obim aktivnosti i devizni kurs), uz podršku tržišta u razvoju. Racio šteta Grupe nakon reosiguranja stabilizovao se tokom proteklih šest meseci, na 52,5%. Coface je spreman za Bonitet II, koji je stupio na snagu 1. januara 2016. Racio kapitala potrebnog za pokriće upisanog rizika iznosi 147%</w:t>
      </w:r>
      <w:r>
        <w:rPr>
          <w:rFonts w:ascii="Arial" w:hAnsi="Arial" w:cs="Arial"/>
          <w:color w:val="000000"/>
          <w:sz w:val="20"/>
          <w:szCs w:val="19"/>
          <w:vertAlign w:val="superscript"/>
        </w:rPr>
        <w:t>7</w:t>
      </w:r>
      <w:r>
        <w:rPr>
          <w:rFonts w:ascii="Arial" w:hAnsi="Arial" w:cs="Arial"/>
          <w:color w:val="000000"/>
          <w:sz w:val="20"/>
          <w:szCs w:val="19"/>
        </w:rPr>
        <w:t xml:space="preserve">, što je nivo u skladu sa apetitom za rizik kompanije Coface i politikom isplate dividendi od 60% neto prihoda. </w:t>
      </w:r>
    </w:p>
    <w:p w:rsidR="00AD1004" w:rsidRPr="004A798C" w:rsidRDefault="004D5346" w:rsidP="00141E28">
      <w:pPr>
        <w:spacing w:line="270" w:lineRule="exact"/>
        <w:ind w:left="851"/>
        <w:jc w:val="both"/>
        <w:rPr>
          <w:rFonts w:ascii="Arial" w:hAnsi="Arial" w:cs="Arial"/>
          <w:bCs/>
          <w:color w:val="000000"/>
          <w:sz w:val="20"/>
          <w:szCs w:val="19"/>
        </w:rPr>
      </w:pPr>
      <w:r>
        <w:rPr>
          <w:rFonts w:ascii="Arial" w:hAnsi="Arial" w:cs="Arial"/>
          <w:color w:val="000000"/>
          <w:sz w:val="20"/>
          <w:szCs w:val="19"/>
        </w:rPr>
        <w:t>Na osnovu neto prihoda po akciji, stabilnog na 0,80 €, Grupa će predložiti dividendu</w:t>
      </w:r>
      <w:r>
        <w:rPr>
          <w:rFonts w:ascii="Arial" w:hAnsi="Arial" w:cs="Arial"/>
          <w:color w:val="000000"/>
          <w:sz w:val="20"/>
          <w:szCs w:val="19"/>
          <w:vertAlign w:val="superscript"/>
        </w:rPr>
        <w:t>5</w:t>
      </w:r>
      <w:r>
        <w:rPr>
          <w:rFonts w:ascii="Arial" w:hAnsi="Arial" w:cs="Arial"/>
          <w:color w:val="000000"/>
          <w:sz w:val="20"/>
          <w:szCs w:val="19"/>
        </w:rPr>
        <w:t xml:space="preserve"> od 0,48 € po akciji.</w:t>
      </w:r>
    </w:p>
    <w:p w:rsidR="004D5346" w:rsidRPr="004A798C" w:rsidRDefault="004D5346" w:rsidP="004A798C">
      <w:pPr>
        <w:ind w:left="851"/>
        <w:jc w:val="both"/>
        <w:rPr>
          <w:rFonts w:ascii="Arial" w:hAnsi="Arial" w:cs="Arial"/>
          <w:bCs/>
          <w:color w:val="000000"/>
          <w:sz w:val="20"/>
          <w:szCs w:val="19"/>
        </w:rPr>
      </w:pPr>
    </w:p>
    <w:p w:rsidR="007D1D0E" w:rsidRPr="004A798C" w:rsidRDefault="007D1D0E" w:rsidP="004A798C">
      <w:pPr>
        <w:ind w:left="851"/>
        <w:jc w:val="both"/>
        <w:rPr>
          <w:rFonts w:ascii="Arial" w:hAnsi="Arial" w:cs="Arial"/>
          <w:bCs/>
          <w:i/>
          <w:color w:val="000000"/>
          <w:sz w:val="22"/>
          <w:szCs w:val="20"/>
        </w:rPr>
      </w:pPr>
    </w:p>
    <w:p w:rsidR="00D8441E" w:rsidRDefault="00D8441E" w:rsidP="004C2FE8">
      <w:pPr>
        <w:jc w:val="both"/>
        <w:rPr>
          <w:rFonts w:ascii="Arial" w:hAnsi="Arial" w:cs="Arial"/>
          <w:bCs/>
          <w:i/>
          <w:color w:val="000000"/>
          <w:sz w:val="20"/>
          <w:szCs w:val="20"/>
        </w:rPr>
      </w:pPr>
    </w:p>
    <w:p w:rsidR="00D8441E" w:rsidRDefault="00D8441E" w:rsidP="004C2FE8">
      <w:pPr>
        <w:jc w:val="both"/>
        <w:rPr>
          <w:rFonts w:ascii="Arial" w:hAnsi="Arial" w:cs="Arial"/>
          <w:bCs/>
          <w:i/>
          <w:color w:val="000000"/>
          <w:sz w:val="20"/>
          <w:szCs w:val="20"/>
        </w:rPr>
      </w:pPr>
    </w:p>
    <w:p w:rsidR="00D8441E" w:rsidRDefault="00D8441E" w:rsidP="004C2FE8">
      <w:pPr>
        <w:jc w:val="both"/>
        <w:rPr>
          <w:rFonts w:ascii="Arial" w:hAnsi="Arial" w:cs="Arial"/>
          <w:bCs/>
          <w:i/>
          <w:color w:val="000000"/>
          <w:sz w:val="20"/>
          <w:szCs w:val="20"/>
        </w:rPr>
      </w:pPr>
    </w:p>
    <w:p w:rsidR="00D8441E" w:rsidRDefault="00D8441E" w:rsidP="004C2FE8">
      <w:pPr>
        <w:jc w:val="both"/>
        <w:rPr>
          <w:rFonts w:ascii="Arial" w:hAnsi="Arial" w:cs="Arial"/>
          <w:bCs/>
          <w:i/>
          <w:color w:val="000000"/>
          <w:sz w:val="20"/>
          <w:szCs w:val="20"/>
        </w:rPr>
      </w:pPr>
    </w:p>
    <w:p w:rsidR="00D8441E" w:rsidRDefault="00D8441E" w:rsidP="004C2FE8">
      <w:pPr>
        <w:jc w:val="both"/>
        <w:rPr>
          <w:rFonts w:ascii="Arial" w:hAnsi="Arial" w:cs="Arial"/>
          <w:bCs/>
          <w:i/>
          <w:color w:val="000000"/>
          <w:sz w:val="20"/>
          <w:szCs w:val="20"/>
        </w:rPr>
      </w:pPr>
    </w:p>
    <w:p w:rsidR="00D8441E" w:rsidRPr="00CC3841" w:rsidRDefault="00D8441E" w:rsidP="0077375A">
      <w:pPr>
        <w:widowControl/>
        <w:spacing w:after="200" w:line="276" w:lineRule="auto"/>
        <w:rPr>
          <w:rFonts w:ascii="Arial" w:hAnsi="Arial" w:cs="Arial"/>
          <w:bCs/>
          <w:i/>
          <w:color w:val="000000"/>
          <w:sz w:val="20"/>
          <w:szCs w:val="20"/>
        </w:rPr>
      </w:pPr>
    </w:p>
    <w:p w:rsidR="007D1D0E" w:rsidRPr="00CC3841" w:rsidRDefault="007D1D0E" w:rsidP="004C2FE8">
      <w:pPr>
        <w:jc w:val="both"/>
        <w:rPr>
          <w:rFonts w:ascii="Arial" w:hAnsi="Arial" w:cs="Arial"/>
          <w:bCs/>
          <w:i/>
          <w:color w:val="000000"/>
          <w:sz w:val="20"/>
          <w:szCs w:val="20"/>
        </w:rPr>
      </w:pPr>
    </w:p>
    <w:p w:rsidR="00B82FE5" w:rsidRPr="007D1D0E" w:rsidRDefault="007D1D0E" w:rsidP="00B82FE5">
      <w:pPr>
        <w:widowControl/>
        <w:suppressAutoHyphens/>
        <w:autoSpaceDE w:val="0"/>
        <w:autoSpaceDN w:val="0"/>
        <w:adjustRightInd w:val="0"/>
        <w:spacing w:line="270" w:lineRule="exact"/>
        <w:jc w:val="both"/>
        <w:rPr>
          <w:rFonts w:ascii="Arial" w:hAnsi="Arial" w:cs="Arial"/>
          <w:b/>
          <w:bCs/>
          <w:color w:val="000000"/>
          <w:sz w:val="20"/>
          <w:szCs w:val="20"/>
        </w:rPr>
      </w:pPr>
      <w:r>
        <w:rPr>
          <w:rFonts w:ascii="Arial" w:hAnsi="Arial" w:cs="Arial"/>
          <w:b/>
          <w:bCs/>
          <w:color w:val="000000"/>
          <w:sz w:val="20"/>
          <w:szCs w:val="20"/>
        </w:rPr>
        <w:t>Ključne cifre na dan 31. decembar 2015. godine</w:t>
      </w:r>
    </w:p>
    <w:p w:rsidR="00B82FE5" w:rsidRPr="007D1D0E" w:rsidRDefault="00B82FE5" w:rsidP="00B82FE5">
      <w:pPr>
        <w:pStyle w:val="Footer"/>
        <w:suppressAutoHyphens/>
        <w:spacing w:line="270" w:lineRule="exact"/>
        <w:ind w:right="360"/>
        <w:rPr>
          <w:rFonts w:ascii="Arial" w:hAnsi="Arial" w:cs="Arial"/>
          <w:sz w:val="18"/>
          <w:szCs w:val="18"/>
        </w:rPr>
      </w:pPr>
    </w:p>
    <w:p w:rsidR="00B82FE5" w:rsidRPr="00E1453F" w:rsidRDefault="007D1D0E" w:rsidP="00B82FE5">
      <w:pPr>
        <w:pBdr>
          <w:top w:val="single" w:sz="4" w:space="1" w:color="auto"/>
          <w:left w:val="single" w:sz="4" w:space="4" w:color="auto"/>
          <w:bottom w:val="single" w:sz="4" w:space="1" w:color="auto"/>
          <w:right w:val="single" w:sz="4" w:space="4" w:color="auto"/>
        </w:pBdr>
        <w:suppressAutoHyphens/>
        <w:spacing w:line="270" w:lineRule="exact"/>
        <w:ind w:left="-709"/>
        <w:rPr>
          <w:rFonts w:ascii="Arial" w:hAnsi="Arial" w:cs="Arial"/>
          <w:sz w:val="16"/>
          <w:szCs w:val="16"/>
        </w:rPr>
      </w:pPr>
      <w:r>
        <w:rPr>
          <w:rFonts w:ascii="Arial" w:hAnsi="Arial" w:cs="Arial"/>
          <w:sz w:val="16"/>
          <w:szCs w:val="16"/>
        </w:rPr>
        <w:t xml:space="preserve">Upravni odbor COFACE SA pregledao je konsolidovane finansijske izveštaje za fiskalnu 2015. godinu tokom svog sastanku 9. februara 2016. Oni su bili predmet razmatranja od strane Odbora za reviziju. Nerevidirani finansijski izveštaji se sertifikuju. </w:t>
      </w:r>
    </w:p>
    <w:p w:rsidR="00B82FE5" w:rsidRPr="00E1453F" w:rsidRDefault="00B82FE5" w:rsidP="00B82FE5">
      <w:pPr>
        <w:pStyle w:val="Footer"/>
        <w:suppressAutoHyphens/>
        <w:spacing w:line="270" w:lineRule="exact"/>
        <w:ind w:right="360"/>
        <w:rPr>
          <w:rFonts w:ascii="Arial" w:hAnsi="Arial" w:cs="Arial"/>
          <w:sz w:val="18"/>
          <w:szCs w:val="18"/>
        </w:rPr>
      </w:pPr>
    </w:p>
    <w:p w:rsidR="007651BC" w:rsidRPr="00E1453F" w:rsidRDefault="007651BC" w:rsidP="00BF6BA1">
      <w:pPr>
        <w:spacing w:line="270" w:lineRule="exact"/>
        <w:rPr>
          <w:rFonts w:ascii="Arial Narrow" w:hAnsi="Arial Narrow" w:cs="Arial"/>
          <w:i/>
          <w:iCs/>
          <w:color w:val="FFFFFF"/>
          <w:sz w:val="18"/>
          <w:szCs w:val="18"/>
        </w:rPr>
        <w:sectPr w:rsidR="007651BC" w:rsidRPr="00E1453F">
          <w:footerReference w:type="default" r:id="rId9"/>
          <w:pgSz w:w="12240" w:h="15840"/>
          <w:pgMar w:top="1417" w:right="1417" w:bottom="1417" w:left="1417" w:header="708" w:footer="708" w:gutter="0"/>
          <w:cols w:space="708"/>
          <w:docGrid w:linePitch="360"/>
        </w:sectPr>
      </w:pPr>
    </w:p>
    <w:p w:rsidR="007651BC" w:rsidRPr="00E1453F" w:rsidRDefault="007651BC" w:rsidP="00BF6BA1">
      <w:pPr>
        <w:spacing w:line="270" w:lineRule="exact"/>
        <w:rPr>
          <w:rFonts w:ascii="Arial Narrow" w:hAnsi="Arial Narrow" w:cs="Arial"/>
          <w:i/>
          <w:iCs/>
          <w:color w:val="FFFFFF"/>
          <w:sz w:val="18"/>
          <w:szCs w:val="18"/>
        </w:rPr>
        <w:sectPr w:rsidR="007651BC" w:rsidRPr="00E1453F" w:rsidSect="007651BC">
          <w:type w:val="continuous"/>
          <w:pgSz w:w="12240" w:h="15840"/>
          <w:pgMar w:top="1417" w:right="1417" w:bottom="1417" w:left="1417" w:header="708" w:footer="708" w:gutter="0"/>
          <w:cols w:space="708"/>
          <w:docGrid w:linePitch="360"/>
        </w:sectPr>
      </w:pPr>
    </w:p>
    <w:tbl>
      <w:tblPr>
        <w:tblW w:w="9192" w:type="dxa"/>
        <w:jc w:val="center"/>
        <w:tblInd w:w="-1396" w:type="dxa"/>
        <w:tblCellMar>
          <w:left w:w="0" w:type="dxa"/>
          <w:right w:w="0" w:type="dxa"/>
        </w:tblCellMar>
        <w:tblLook w:val="04A0"/>
      </w:tblPr>
      <w:tblGrid>
        <w:gridCol w:w="3830"/>
        <w:gridCol w:w="1428"/>
        <w:gridCol w:w="1311"/>
        <w:gridCol w:w="1311"/>
        <w:gridCol w:w="1312"/>
      </w:tblGrid>
      <w:tr w:rsidR="006C51EF" w:rsidRPr="004B1794" w:rsidTr="006C51EF">
        <w:trPr>
          <w:trHeight w:val="450"/>
          <w:jc w:val="center"/>
        </w:trPr>
        <w:tc>
          <w:tcPr>
            <w:tcW w:w="3830" w:type="dxa"/>
            <w:tcBorders>
              <w:top w:val="nil"/>
              <w:left w:val="nil"/>
              <w:bottom w:val="single" w:sz="8" w:space="0" w:color="FFFFFF"/>
              <w:right w:val="nil"/>
            </w:tcBorders>
            <w:shd w:val="clear" w:color="auto" w:fill="61B57C"/>
            <w:tcMar>
              <w:top w:w="0" w:type="dxa"/>
              <w:left w:w="70" w:type="dxa"/>
              <w:bottom w:w="0" w:type="dxa"/>
              <w:right w:w="70" w:type="dxa"/>
            </w:tcMar>
            <w:vAlign w:val="center"/>
            <w:hideMark/>
          </w:tcPr>
          <w:p w:rsidR="006C51EF" w:rsidRPr="0058360E" w:rsidRDefault="006C51EF" w:rsidP="0058360E">
            <w:pPr>
              <w:spacing w:line="270" w:lineRule="exact"/>
              <w:rPr>
                <w:rFonts w:ascii="Arial Narrow" w:eastAsia="Calibri" w:hAnsi="Arial Narrow" w:cs="Arial"/>
                <w:i/>
                <w:iCs/>
                <w:color w:val="FFFFFF"/>
                <w:sz w:val="18"/>
                <w:szCs w:val="18"/>
              </w:rPr>
            </w:pPr>
            <w:r>
              <w:rPr>
                <w:rFonts w:ascii="Arial Narrow" w:hAnsi="Arial Narrow" w:cs="Arial"/>
                <w:color w:val="FFFFFF"/>
                <w:sz w:val="18"/>
                <w:szCs w:val="18"/>
              </w:rPr>
              <w:lastRenderedPageBreak/>
              <w:t>    Stavke iz bilansa uspeha u milionima evra</w:t>
            </w:r>
          </w:p>
        </w:tc>
        <w:tc>
          <w:tcPr>
            <w:tcW w:w="1428" w:type="dxa"/>
            <w:tcBorders>
              <w:top w:val="nil"/>
              <w:left w:val="nil"/>
              <w:bottom w:val="single" w:sz="8" w:space="0" w:color="FFFFFF"/>
              <w:right w:val="nil"/>
            </w:tcBorders>
            <w:shd w:val="clear" w:color="auto" w:fill="61B57C"/>
            <w:tcMar>
              <w:top w:w="0" w:type="dxa"/>
              <w:left w:w="70" w:type="dxa"/>
              <w:bottom w:w="0" w:type="dxa"/>
              <w:right w:w="70" w:type="dxa"/>
            </w:tcMar>
            <w:vAlign w:val="center"/>
          </w:tcPr>
          <w:p w:rsidR="006C51EF" w:rsidRPr="006C51EF" w:rsidRDefault="006C51EF" w:rsidP="0058360E">
            <w:pPr>
              <w:spacing w:line="270" w:lineRule="exact"/>
              <w:jc w:val="center"/>
              <w:rPr>
                <w:rFonts w:ascii="Arial Narrow" w:eastAsia="Calibri" w:hAnsi="Arial Narrow" w:cs="Arial"/>
                <w:b/>
                <w:bCs/>
                <w:color w:val="FFFFFF"/>
                <w:sz w:val="18"/>
                <w:szCs w:val="18"/>
              </w:rPr>
            </w:pPr>
            <w:r>
              <w:rPr>
                <w:rFonts w:ascii="Arial Narrow" w:eastAsia="Calibri" w:hAnsi="Arial Narrow" w:cs="Arial"/>
                <w:b/>
                <w:bCs/>
                <w:color w:val="FFFFFF"/>
                <w:sz w:val="18"/>
                <w:szCs w:val="18"/>
              </w:rPr>
              <w:t>2014</w:t>
            </w:r>
            <w:r>
              <w:rPr>
                <w:rFonts w:ascii="Arial Narrow" w:eastAsia="Calibri" w:hAnsi="Arial Narrow" w:cs="Arial"/>
                <w:color w:val="FFFFFF"/>
                <w:sz w:val="18"/>
                <w:szCs w:val="18"/>
              </w:rPr>
              <w:br/>
            </w:r>
            <w:r>
              <w:rPr>
                <w:rFonts w:ascii="Arial Narrow" w:eastAsia="Calibri" w:hAnsi="Arial Narrow" w:cs="Arial"/>
                <w:b/>
                <w:bCs/>
                <w:color w:val="FFFFFF"/>
                <w:sz w:val="14"/>
                <w:szCs w:val="14"/>
              </w:rPr>
              <w:t>*korigovano prema IFRIC 21</w:t>
            </w:r>
          </w:p>
        </w:tc>
        <w:tc>
          <w:tcPr>
            <w:tcW w:w="1311" w:type="dxa"/>
            <w:tcBorders>
              <w:top w:val="nil"/>
              <w:left w:val="nil"/>
              <w:bottom w:val="single" w:sz="8" w:space="0" w:color="FFFFFF"/>
              <w:right w:val="nil"/>
            </w:tcBorders>
            <w:shd w:val="clear" w:color="auto" w:fill="61B57C"/>
            <w:tcMar>
              <w:top w:w="0" w:type="dxa"/>
              <w:left w:w="70" w:type="dxa"/>
              <w:bottom w:w="0" w:type="dxa"/>
              <w:right w:w="70" w:type="dxa"/>
            </w:tcMar>
            <w:vAlign w:val="center"/>
          </w:tcPr>
          <w:p w:rsidR="006C51EF" w:rsidRPr="006C51EF" w:rsidRDefault="006C51EF" w:rsidP="00BF6BA1">
            <w:pPr>
              <w:spacing w:line="270" w:lineRule="exact"/>
              <w:jc w:val="center"/>
              <w:rPr>
                <w:rFonts w:ascii="Arial Narrow" w:eastAsia="Calibri" w:hAnsi="Arial Narrow" w:cs="Arial"/>
                <w:b/>
                <w:bCs/>
                <w:color w:val="FFFFFF"/>
                <w:sz w:val="18"/>
                <w:szCs w:val="18"/>
              </w:rPr>
            </w:pPr>
            <w:r>
              <w:rPr>
                <w:rFonts w:ascii="Arial Narrow" w:eastAsia="Calibri" w:hAnsi="Arial Narrow" w:cs="Arial"/>
                <w:b/>
                <w:bCs/>
                <w:color w:val="FFFFFF"/>
                <w:sz w:val="18"/>
                <w:szCs w:val="18"/>
              </w:rPr>
              <w:t>2015</w:t>
            </w:r>
          </w:p>
        </w:tc>
        <w:tc>
          <w:tcPr>
            <w:tcW w:w="1311" w:type="dxa"/>
            <w:tcBorders>
              <w:top w:val="nil"/>
              <w:left w:val="nil"/>
              <w:bottom w:val="single" w:sz="8" w:space="0" w:color="FFFFFF"/>
              <w:right w:val="nil"/>
            </w:tcBorders>
            <w:shd w:val="clear" w:color="auto" w:fill="61B57C"/>
            <w:tcMar>
              <w:top w:w="0" w:type="dxa"/>
              <w:left w:w="70" w:type="dxa"/>
              <w:bottom w:w="0" w:type="dxa"/>
              <w:right w:w="70" w:type="dxa"/>
            </w:tcMar>
            <w:vAlign w:val="center"/>
          </w:tcPr>
          <w:p w:rsidR="006C51EF" w:rsidRPr="006C51EF" w:rsidRDefault="006C51EF" w:rsidP="00BF6BA1">
            <w:pPr>
              <w:spacing w:line="270" w:lineRule="exact"/>
              <w:jc w:val="center"/>
              <w:rPr>
                <w:rFonts w:ascii="Arial Narrow" w:eastAsia="Calibri" w:hAnsi="Arial Narrow" w:cs="Arial"/>
                <w:b/>
                <w:bCs/>
                <w:color w:val="FFFFFF"/>
                <w:sz w:val="18"/>
                <w:szCs w:val="18"/>
              </w:rPr>
            </w:pPr>
            <w:r>
              <w:rPr>
                <w:rFonts w:ascii="Arial Narrow" w:eastAsia="Calibri" w:hAnsi="Arial Narrow" w:cs="Arial"/>
                <w:b/>
                <w:bCs/>
                <w:color w:val="FFFFFF"/>
                <w:sz w:val="18"/>
                <w:szCs w:val="18"/>
              </w:rPr>
              <w:t>Promena</w:t>
            </w:r>
          </w:p>
          <w:p w:rsidR="006C51EF" w:rsidRPr="00B82FE5" w:rsidRDefault="006C51EF" w:rsidP="0058360E">
            <w:pPr>
              <w:spacing w:line="270" w:lineRule="exact"/>
              <w:jc w:val="center"/>
              <w:rPr>
                <w:rFonts w:ascii="Arial Narrow" w:eastAsia="Calibri" w:hAnsi="Arial Narrow" w:cs="Arial"/>
                <w:b/>
                <w:bCs/>
                <w:color w:val="FFFFFF"/>
                <w:sz w:val="18"/>
                <w:szCs w:val="18"/>
              </w:rPr>
            </w:pPr>
            <w:r>
              <w:rPr>
                <w:rFonts w:ascii="Arial Narrow" w:eastAsia="Calibri" w:hAnsi="Arial Narrow" w:cs="Arial"/>
                <w:b/>
                <w:bCs/>
                <w:color w:val="FFFFFF"/>
                <w:sz w:val="14"/>
                <w:szCs w:val="14"/>
              </w:rPr>
              <w:t>2015. naspram2014. korigovano prema IFRIC 21</w:t>
            </w:r>
          </w:p>
        </w:tc>
        <w:tc>
          <w:tcPr>
            <w:tcW w:w="1312" w:type="dxa"/>
            <w:tcBorders>
              <w:top w:val="nil"/>
              <w:left w:val="nil"/>
              <w:bottom w:val="single" w:sz="8" w:space="0" w:color="FFFFFF"/>
              <w:right w:val="nil"/>
            </w:tcBorders>
            <w:shd w:val="clear" w:color="auto" w:fill="61B57C"/>
            <w:tcMar>
              <w:top w:w="0" w:type="dxa"/>
              <w:left w:w="70" w:type="dxa"/>
              <w:bottom w:w="0" w:type="dxa"/>
              <w:right w:w="70" w:type="dxa"/>
            </w:tcMar>
            <w:hideMark/>
          </w:tcPr>
          <w:p w:rsidR="006C51EF" w:rsidRPr="004B1794" w:rsidRDefault="006C51EF" w:rsidP="0058360E">
            <w:pPr>
              <w:spacing w:line="270" w:lineRule="exact"/>
              <w:jc w:val="center"/>
              <w:rPr>
                <w:rFonts w:ascii="Arial Narrow" w:eastAsia="Calibri" w:hAnsi="Arial Narrow" w:cs="Arial"/>
                <w:b/>
                <w:bCs/>
                <w:color w:val="FFFFFF"/>
                <w:sz w:val="18"/>
                <w:szCs w:val="18"/>
              </w:rPr>
            </w:pPr>
            <w:r>
              <w:rPr>
                <w:rFonts w:ascii="Arial Narrow" w:hAnsi="Arial Narrow" w:cs="Arial"/>
                <w:b/>
                <w:bCs/>
                <w:color w:val="FFFFFF" w:themeColor="background1"/>
                <w:sz w:val="18"/>
                <w:szCs w:val="18"/>
              </w:rPr>
              <w:t>Promena</w:t>
            </w:r>
            <w:r>
              <w:rPr>
                <w:rFonts w:ascii="Arial Narrow" w:hAnsi="Arial Narrow" w:cs="Arial"/>
                <w:color w:val="FFFFFF" w:themeColor="background1"/>
                <w:sz w:val="18"/>
                <w:szCs w:val="18"/>
              </w:rPr>
              <w:br/>
            </w:r>
            <w:r>
              <w:rPr>
                <w:rFonts w:ascii="Arial Narrow" w:hAnsi="Arial Narrow" w:cs="Arial"/>
                <w:color w:val="FFFFFF" w:themeColor="background1"/>
                <w:sz w:val="16"/>
                <w:szCs w:val="16"/>
              </w:rPr>
              <w:t>poređenje sa prethodnom godinom</w:t>
            </w:r>
            <w:r>
              <w:rPr>
                <w:rStyle w:val="EndnoteReference"/>
                <w:rFonts w:ascii="Arial Narrow" w:hAnsi="Arial Narrow" w:cs="Arial"/>
                <w:color w:val="FFFFFF" w:themeColor="background1"/>
                <w:sz w:val="16"/>
                <w:szCs w:val="16"/>
              </w:rPr>
              <w:endnoteReference w:id="2"/>
            </w:r>
          </w:p>
        </w:tc>
      </w:tr>
      <w:tr w:rsidR="006C51EF" w:rsidRPr="004B1794" w:rsidTr="006C51EF">
        <w:trPr>
          <w:trHeight w:val="264"/>
          <w:jc w:val="center"/>
        </w:trPr>
        <w:tc>
          <w:tcPr>
            <w:tcW w:w="3830" w:type="dxa"/>
            <w:noWrap/>
            <w:tcMar>
              <w:top w:w="0" w:type="dxa"/>
              <w:left w:w="70" w:type="dxa"/>
              <w:bottom w:w="0" w:type="dxa"/>
              <w:right w:w="70" w:type="dxa"/>
            </w:tcMar>
            <w:vAlign w:val="bottom"/>
            <w:hideMark/>
          </w:tcPr>
          <w:p w:rsidR="006C51EF" w:rsidRPr="0058360E" w:rsidRDefault="006C51EF" w:rsidP="00BF6BA1">
            <w:pPr>
              <w:spacing w:line="270" w:lineRule="exact"/>
              <w:rPr>
                <w:rFonts w:ascii="Arial Narrow" w:eastAsia="Calibri" w:hAnsi="Arial Narrow" w:cs="Arial"/>
                <w:b/>
                <w:bCs/>
                <w:color w:val="000000"/>
                <w:sz w:val="18"/>
                <w:szCs w:val="18"/>
              </w:rPr>
            </w:pPr>
            <w:r>
              <w:rPr>
                <w:rFonts w:ascii="Arial Narrow" w:hAnsi="Arial Narrow" w:cs="Arial"/>
                <w:b/>
                <w:bCs/>
                <w:color w:val="000000"/>
                <w:sz w:val="18"/>
                <w:szCs w:val="18"/>
              </w:rPr>
              <w:t>Konsolidovani prihod</w:t>
            </w:r>
          </w:p>
        </w:tc>
        <w:tc>
          <w:tcPr>
            <w:tcW w:w="1428" w:type="dxa"/>
            <w:tcMar>
              <w:top w:w="0" w:type="dxa"/>
              <w:left w:w="70" w:type="dxa"/>
              <w:bottom w:w="0" w:type="dxa"/>
              <w:right w:w="70" w:type="dxa"/>
            </w:tcMar>
            <w:vAlign w:val="center"/>
          </w:tcPr>
          <w:p w:rsidR="006C51EF" w:rsidRPr="00815464" w:rsidRDefault="006C51EF" w:rsidP="003009BD">
            <w:pPr>
              <w:jc w:val="center"/>
              <w:rPr>
                <w:rFonts w:ascii="Arial Narrow" w:hAnsi="Arial Narrow"/>
                <w:b/>
                <w:bCs/>
                <w:sz w:val="18"/>
                <w:szCs w:val="18"/>
              </w:rPr>
            </w:pPr>
            <w:r>
              <w:rPr>
                <w:rFonts w:ascii="Arial Narrow" w:hAnsi="Arial Narrow"/>
                <w:b/>
                <w:bCs/>
                <w:sz w:val="18"/>
                <w:szCs w:val="18"/>
              </w:rPr>
              <w:t>1.440,5</w:t>
            </w:r>
          </w:p>
        </w:tc>
        <w:tc>
          <w:tcPr>
            <w:tcW w:w="1311" w:type="dxa"/>
            <w:shd w:val="clear" w:color="auto" w:fill="E0F1E5"/>
            <w:tcMar>
              <w:top w:w="0" w:type="dxa"/>
              <w:left w:w="70" w:type="dxa"/>
              <w:bottom w:w="0" w:type="dxa"/>
              <w:right w:w="70" w:type="dxa"/>
            </w:tcMar>
            <w:vAlign w:val="center"/>
          </w:tcPr>
          <w:p w:rsidR="006C51EF" w:rsidRPr="00815464" w:rsidRDefault="006C51EF" w:rsidP="00580FD4">
            <w:pPr>
              <w:jc w:val="center"/>
              <w:rPr>
                <w:rFonts w:ascii="Arial Narrow" w:hAnsi="Arial Narrow"/>
                <w:b/>
                <w:bCs/>
                <w:sz w:val="18"/>
                <w:szCs w:val="18"/>
              </w:rPr>
            </w:pPr>
            <w:r>
              <w:rPr>
                <w:rFonts w:ascii="Arial Narrow" w:hAnsi="Arial Narrow"/>
                <w:b/>
                <w:bCs/>
                <w:sz w:val="18"/>
                <w:szCs w:val="18"/>
              </w:rPr>
              <w:t>1.489,5</w:t>
            </w:r>
          </w:p>
        </w:tc>
        <w:tc>
          <w:tcPr>
            <w:tcW w:w="1311" w:type="dxa"/>
            <w:tcMar>
              <w:top w:w="0" w:type="dxa"/>
              <w:left w:w="70" w:type="dxa"/>
              <w:bottom w:w="0" w:type="dxa"/>
              <w:right w:w="70" w:type="dxa"/>
            </w:tcMar>
            <w:vAlign w:val="center"/>
          </w:tcPr>
          <w:p w:rsidR="006C51EF" w:rsidRPr="00815464" w:rsidRDefault="006C51EF" w:rsidP="00580FD4">
            <w:pPr>
              <w:jc w:val="center"/>
              <w:rPr>
                <w:rFonts w:ascii="Arial Narrow" w:hAnsi="Arial Narrow"/>
                <w:b/>
                <w:bCs/>
                <w:sz w:val="18"/>
                <w:szCs w:val="18"/>
              </w:rPr>
            </w:pPr>
            <w:r>
              <w:rPr>
                <w:rFonts w:ascii="Arial Narrow" w:hAnsi="Arial Narrow"/>
                <w:b/>
                <w:bCs/>
                <w:sz w:val="18"/>
                <w:szCs w:val="18"/>
              </w:rPr>
              <w:t>+3,4%</w:t>
            </w:r>
          </w:p>
        </w:tc>
        <w:tc>
          <w:tcPr>
            <w:tcW w:w="1312" w:type="dxa"/>
            <w:tcMar>
              <w:top w:w="0" w:type="dxa"/>
              <w:left w:w="70" w:type="dxa"/>
              <w:bottom w:w="0" w:type="dxa"/>
              <w:right w:w="70" w:type="dxa"/>
            </w:tcMar>
            <w:vAlign w:val="center"/>
          </w:tcPr>
          <w:p w:rsidR="006C51EF" w:rsidRPr="00815464" w:rsidRDefault="006C51EF">
            <w:pPr>
              <w:jc w:val="center"/>
              <w:rPr>
                <w:rFonts w:ascii="Arial Narrow" w:hAnsi="Arial Narrow"/>
                <w:b/>
                <w:bCs/>
                <w:sz w:val="18"/>
                <w:szCs w:val="18"/>
              </w:rPr>
            </w:pPr>
            <w:r>
              <w:rPr>
                <w:rFonts w:ascii="Arial Narrow" w:hAnsi="Arial Narrow"/>
                <w:b/>
                <w:bCs/>
                <w:sz w:val="18"/>
                <w:szCs w:val="18"/>
              </w:rPr>
              <w:t>+1,2%</w:t>
            </w:r>
          </w:p>
        </w:tc>
      </w:tr>
      <w:tr w:rsidR="006C51EF" w:rsidRPr="004B1794" w:rsidTr="006C51EF">
        <w:trPr>
          <w:trHeight w:val="264"/>
          <w:jc w:val="center"/>
        </w:trPr>
        <w:tc>
          <w:tcPr>
            <w:tcW w:w="3830" w:type="dxa"/>
            <w:tcMar>
              <w:top w:w="0" w:type="dxa"/>
              <w:left w:w="70" w:type="dxa"/>
              <w:bottom w:w="0" w:type="dxa"/>
              <w:right w:w="70" w:type="dxa"/>
            </w:tcMar>
            <w:vAlign w:val="center"/>
            <w:hideMark/>
          </w:tcPr>
          <w:p w:rsidR="006C51EF" w:rsidRPr="0058360E" w:rsidRDefault="006C51EF" w:rsidP="00BF6BA1">
            <w:pPr>
              <w:spacing w:line="270" w:lineRule="exact"/>
              <w:ind w:left="214"/>
              <w:rPr>
                <w:rFonts w:ascii="Arial Narrow" w:eastAsia="Calibri" w:hAnsi="Arial Narrow" w:cs="Arial"/>
                <w:i/>
                <w:iCs/>
                <w:color w:val="000000"/>
                <w:sz w:val="16"/>
                <w:szCs w:val="16"/>
              </w:rPr>
            </w:pPr>
            <w:r>
              <w:rPr>
                <w:rFonts w:ascii="Arial Narrow" w:hAnsi="Arial Narrow" w:cs="Arial"/>
                <w:i/>
                <w:iCs/>
                <w:color w:val="000000"/>
                <w:sz w:val="16"/>
                <w:szCs w:val="16"/>
              </w:rPr>
              <w:t>Od čega bruto zarađenih premija</w:t>
            </w:r>
          </w:p>
        </w:tc>
        <w:tc>
          <w:tcPr>
            <w:tcW w:w="1428" w:type="dxa"/>
            <w:tcMar>
              <w:top w:w="0" w:type="dxa"/>
              <w:left w:w="70" w:type="dxa"/>
              <w:bottom w:w="0" w:type="dxa"/>
              <w:right w:w="70" w:type="dxa"/>
            </w:tcMar>
            <w:vAlign w:val="center"/>
          </w:tcPr>
          <w:p w:rsidR="006C51EF" w:rsidRPr="00815464" w:rsidRDefault="006C51EF" w:rsidP="00580FD4">
            <w:pPr>
              <w:jc w:val="center"/>
              <w:rPr>
                <w:rFonts w:ascii="Arial Narrow" w:hAnsi="Arial Narrow"/>
                <w:i/>
                <w:iCs/>
                <w:sz w:val="18"/>
                <w:szCs w:val="18"/>
              </w:rPr>
            </w:pPr>
            <w:r>
              <w:rPr>
                <w:rFonts w:ascii="Arial Narrow" w:hAnsi="Arial Narrow"/>
                <w:i/>
                <w:iCs/>
                <w:sz w:val="18"/>
                <w:szCs w:val="18"/>
              </w:rPr>
              <w:t>1.132,7</w:t>
            </w:r>
          </w:p>
        </w:tc>
        <w:tc>
          <w:tcPr>
            <w:tcW w:w="1311" w:type="dxa"/>
            <w:shd w:val="clear" w:color="auto" w:fill="E0F1E5"/>
            <w:tcMar>
              <w:top w:w="0" w:type="dxa"/>
              <w:left w:w="70" w:type="dxa"/>
              <w:bottom w:w="0" w:type="dxa"/>
              <w:right w:w="70" w:type="dxa"/>
            </w:tcMar>
            <w:vAlign w:val="center"/>
          </w:tcPr>
          <w:p w:rsidR="006C51EF" w:rsidRPr="00815464" w:rsidRDefault="006C51EF">
            <w:pPr>
              <w:jc w:val="center"/>
              <w:rPr>
                <w:rFonts w:ascii="Arial Narrow" w:hAnsi="Arial Narrow"/>
                <w:i/>
                <w:iCs/>
                <w:sz w:val="18"/>
                <w:szCs w:val="18"/>
              </w:rPr>
            </w:pPr>
            <w:r>
              <w:rPr>
                <w:rFonts w:ascii="Arial Narrow" w:hAnsi="Arial Narrow"/>
                <w:i/>
                <w:iCs/>
                <w:sz w:val="18"/>
                <w:szCs w:val="18"/>
              </w:rPr>
              <w:t>1.185,9</w:t>
            </w:r>
          </w:p>
        </w:tc>
        <w:tc>
          <w:tcPr>
            <w:tcW w:w="1311" w:type="dxa"/>
            <w:tcMar>
              <w:top w:w="0" w:type="dxa"/>
              <w:left w:w="70" w:type="dxa"/>
              <w:bottom w:w="0" w:type="dxa"/>
              <w:right w:w="70" w:type="dxa"/>
            </w:tcMar>
            <w:vAlign w:val="center"/>
          </w:tcPr>
          <w:p w:rsidR="006C51EF" w:rsidRPr="00815464" w:rsidRDefault="006C51EF">
            <w:pPr>
              <w:jc w:val="center"/>
              <w:rPr>
                <w:rFonts w:ascii="Arial Narrow" w:hAnsi="Arial Narrow"/>
                <w:i/>
                <w:iCs/>
                <w:sz w:val="18"/>
                <w:szCs w:val="18"/>
              </w:rPr>
            </w:pPr>
            <w:r>
              <w:rPr>
                <w:rFonts w:ascii="Arial Narrow" w:hAnsi="Arial Narrow"/>
                <w:i/>
                <w:iCs/>
                <w:sz w:val="18"/>
                <w:szCs w:val="18"/>
              </w:rPr>
              <w:t>+4,7%</w:t>
            </w:r>
          </w:p>
        </w:tc>
        <w:tc>
          <w:tcPr>
            <w:tcW w:w="1312" w:type="dxa"/>
            <w:tcMar>
              <w:top w:w="0" w:type="dxa"/>
              <w:left w:w="70" w:type="dxa"/>
              <w:bottom w:w="0" w:type="dxa"/>
              <w:right w:w="70" w:type="dxa"/>
            </w:tcMar>
            <w:vAlign w:val="center"/>
          </w:tcPr>
          <w:p w:rsidR="006C51EF" w:rsidRPr="00815464" w:rsidRDefault="006C51EF">
            <w:pPr>
              <w:jc w:val="center"/>
              <w:rPr>
                <w:rFonts w:ascii="Arial Narrow" w:hAnsi="Arial Narrow"/>
                <w:i/>
                <w:iCs/>
                <w:sz w:val="18"/>
                <w:szCs w:val="18"/>
              </w:rPr>
            </w:pPr>
            <w:r>
              <w:rPr>
                <w:rFonts w:ascii="Arial Narrow" w:hAnsi="Arial Narrow"/>
                <w:i/>
                <w:iCs/>
                <w:sz w:val="18"/>
                <w:szCs w:val="18"/>
              </w:rPr>
              <w:t>+2,0%</w:t>
            </w:r>
          </w:p>
        </w:tc>
      </w:tr>
      <w:tr w:rsidR="006C51EF" w:rsidRPr="004B1794" w:rsidTr="006C51EF">
        <w:trPr>
          <w:trHeight w:val="80"/>
          <w:jc w:val="center"/>
        </w:trPr>
        <w:tc>
          <w:tcPr>
            <w:tcW w:w="3830" w:type="dxa"/>
            <w:tcMar>
              <w:top w:w="0" w:type="dxa"/>
              <w:left w:w="70" w:type="dxa"/>
              <w:bottom w:w="0" w:type="dxa"/>
              <w:right w:w="70" w:type="dxa"/>
            </w:tcMar>
            <w:vAlign w:val="center"/>
          </w:tcPr>
          <w:p w:rsidR="006C51EF" w:rsidRPr="0058360E" w:rsidRDefault="006C51EF" w:rsidP="00BF6BA1">
            <w:pPr>
              <w:spacing w:line="270" w:lineRule="exact"/>
              <w:rPr>
                <w:rFonts w:ascii="Arial Narrow" w:eastAsia="Calibri" w:hAnsi="Arial Narrow" w:cs="Arial"/>
                <w:color w:val="000000"/>
                <w:sz w:val="8"/>
                <w:szCs w:val="8"/>
              </w:rPr>
            </w:pPr>
          </w:p>
        </w:tc>
        <w:tc>
          <w:tcPr>
            <w:tcW w:w="1428" w:type="dxa"/>
            <w:tcMar>
              <w:top w:w="0" w:type="dxa"/>
              <w:left w:w="70" w:type="dxa"/>
              <w:bottom w:w="0" w:type="dxa"/>
              <w:right w:w="70" w:type="dxa"/>
            </w:tcMar>
          </w:tcPr>
          <w:p w:rsidR="006C51EF" w:rsidRPr="00815464" w:rsidRDefault="006C51EF" w:rsidP="00BF6BA1">
            <w:pPr>
              <w:spacing w:line="270" w:lineRule="exact"/>
              <w:jc w:val="center"/>
              <w:rPr>
                <w:rFonts w:ascii="Arial Narrow" w:eastAsia="Calibri" w:hAnsi="Arial Narrow" w:cs="Arial"/>
                <w:b/>
                <w:bCs/>
                <w:sz w:val="18"/>
                <w:szCs w:val="18"/>
              </w:rPr>
            </w:pPr>
          </w:p>
        </w:tc>
        <w:tc>
          <w:tcPr>
            <w:tcW w:w="1311" w:type="dxa"/>
            <w:shd w:val="clear" w:color="auto" w:fill="E0F1E5"/>
            <w:tcMar>
              <w:top w:w="0" w:type="dxa"/>
              <w:left w:w="70" w:type="dxa"/>
              <w:bottom w:w="0" w:type="dxa"/>
              <w:right w:w="70" w:type="dxa"/>
            </w:tcMar>
            <w:vAlign w:val="center"/>
          </w:tcPr>
          <w:p w:rsidR="006C51EF" w:rsidRPr="00815464" w:rsidRDefault="006C51EF" w:rsidP="00BF6BA1">
            <w:pPr>
              <w:spacing w:line="270" w:lineRule="exact"/>
              <w:jc w:val="center"/>
              <w:rPr>
                <w:rFonts w:ascii="Arial Narrow" w:eastAsia="Calibri" w:hAnsi="Arial Narrow" w:cs="Arial"/>
                <w:b/>
                <w:bCs/>
                <w:sz w:val="18"/>
                <w:szCs w:val="18"/>
              </w:rPr>
            </w:pPr>
          </w:p>
        </w:tc>
        <w:tc>
          <w:tcPr>
            <w:tcW w:w="1311" w:type="dxa"/>
            <w:tcMar>
              <w:top w:w="0" w:type="dxa"/>
              <w:left w:w="70" w:type="dxa"/>
              <w:bottom w:w="0" w:type="dxa"/>
              <w:right w:w="70" w:type="dxa"/>
            </w:tcMar>
            <w:vAlign w:val="center"/>
          </w:tcPr>
          <w:p w:rsidR="006C51EF" w:rsidRPr="00815464" w:rsidRDefault="006C51EF" w:rsidP="00BF6BA1">
            <w:pPr>
              <w:spacing w:line="270" w:lineRule="exact"/>
              <w:jc w:val="center"/>
              <w:rPr>
                <w:rFonts w:ascii="Arial Narrow" w:eastAsia="Calibri" w:hAnsi="Arial Narrow" w:cs="Arial"/>
                <w:sz w:val="18"/>
                <w:szCs w:val="18"/>
              </w:rPr>
            </w:pPr>
          </w:p>
        </w:tc>
        <w:tc>
          <w:tcPr>
            <w:tcW w:w="1312" w:type="dxa"/>
            <w:tcMar>
              <w:top w:w="0" w:type="dxa"/>
              <w:left w:w="70" w:type="dxa"/>
              <w:bottom w:w="0" w:type="dxa"/>
              <w:right w:w="70" w:type="dxa"/>
            </w:tcMar>
            <w:vAlign w:val="center"/>
          </w:tcPr>
          <w:p w:rsidR="006C51EF" w:rsidRPr="00815464" w:rsidRDefault="006C51EF" w:rsidP="00BF6BA1">
            <w:pPr>
              <w:spacing w:line="270" w:lineRule="exact"/>
              <w:jc w:val="center"/>
              <w:rPr>
                <w:rFonts w:ascii="Arial Narrow" w:eastAsia="Calibri" w:hAnsi="Arial Narrow" w:cs="Arial"/>
                <w:sz w:val="18"/>
                <w:szCs w:val="18"/>
              </w:rPr>
            </w:pPr>
          </w:p>
        </w:tc>
      </w:tr>
      <w:tr w:rsidR="006C51EF" w:rsidRPr="004B1794" w:rsidTr="006C51EF">
        <w:trPr>
          <w:trHeight w:val="264"/>
          <w:jc w:val="center"/>
        </w:trPr>
        <w:tc>
          <w:tcPr>
            <w:tcW w:w="3830" w:type="dxa"/>
            <w:tcMar>
              <w:top w:w="0" w:type="dxa"/>
              <w:left w:w="70" w:type="dxa"/>
              <w:bottom w:w="0" w:type="dxa"/>
              <w:right w:w="70" w:type="dxa"/>
            </w:tcMar>
            <w:vAlign w:val="center"/>
          </w:tcPr>
          <w:p w:rsidR="006C51EF" w:rsidRPr="0058360E" w:rsidRDefault="006C51EF" w:rsidP="00BF6BA1">
            <w:pPr>
              <w:spacing w:line="270" w:lineRule="exact"/>
              <w:rPr>
                <w:rFonts w:ascii="Arial Narrow" w:eastAsia="Calibri" w:hAnsi="Arial Narrow" w:cs="Arial"/>
                <w:bCs/>
                <w:color w:val="000000"/>
                <w:sz w:val="18"/>
                <w:szCs w:val="18"/>
              </w:rPr>
            </w:pPr>
            <w:r>
              <w:rPr>
                <w:rFonts w:ascii="Arial Narrow" w:eastAsia="Calibri" w:hAnsi="Arial Narrow" w:cs="Arial"/>
                <w:color w:val="000000"/>
                <w:sz w:val="18"/>
                <w:szCs w:val="18"/>
              </w:rPr>
              <w:t>Prihod od underwriting-a nakon reosiguranja</w:t>
            </w:r>
          </w:p>
        </w:tc>
        <w:tc>
          <w:tcPr>
            <w:tcW w:w="1428" w:type="dxa"/>
            <w:tcMar>
              <w:top w:w="0" w:type="dxa"/>
              <w:left w:w="70" w:type="dxa"/>
              <w:bottom w:w="0" w:type="dxa"/>
              <w:right w:w="70" w:type="dxa"/>
            </w:tcMar>
            <w:vAlign w:val="center"/>
          </w:tcPr>
          <w:p w:rsidR="006C51EF" w:rsidRPr="00815464" w:rsidRDefault="006C51EF">
            <w:pPr>
              <w:jc w:val="center"/>
              <w:rPr>
                <w:rFonts w:ascii="Arial Narrow" w:hAnsi="Arial Narrow"/>
                <w:sz w:val="18"/>
                <w:szCs w:val="18"/>
              </w:rPr>
            </w:pPr>
            <w:r>
              <w:rPr>
                <w:rFonts w:ascii="Arial Narrow" w:hAnsi="Arial Narrow"/>
                <w:sz w:val="18"/>
                <w:szCs w:val="18"/>
              </w:rPr>
              <w:t>166,2</w:t>
            </w:r>
          </w:p>
        </w:tc>
        <w:tc>
          <w:tcPr>
            <w:tcW w:w="1311" w:type="dxa"/>
            <w:shd w:val="clear" w:color="auto" w:fill="E0F1E5"/>
            <w:tcMar>
              <w:top w:w="0" w:type="dxa"/>
              <w:left w:w="70" w:type="dxa"/>
              <w:bottom w:w="0" w:type="dxa"/>
              <w:right w:w="70" w:type="dxa"/>
            </w:tcMar>
            <w:vAlign w:val="center"/>
          </w:tcPr>
          <w:p w:rsidR="006C51EF" w:rsidRPr="00815464" w:rsidRDefault="006C51EF">
            <w:pPr>
              <w:jc w:val="center"/>
              <w:rPr>
                <w:rFonts w:ascii="Arial Narrow" w:hAnsi="Arial Narrow"/>
                <w:sz w:val="18"/>
                <w:szCs w:val="18"/>
              </w:rPr>
            </w:pPr>
            <w:r>
              <w:rPr>
                <w:rFonts w:ascii="Arial Narrow" w:hAnsi="Arial Narrow"/>
                <w:sz w:val="18"/>
                <w:szCs w:val="18"/>
              </w:rPr>
              <w:t>143,4</w:t>
            </w:r>
          </w:p>
        </w:tc>
        <w:tc>
          <w:tcPr>
            <w:tcW w:w="1311" w:type="dxa"/>
            <w:tcMar>
              <w:top w:w="0" w:type="dxa"/>
              <w:left w:w="70" w:type="dxa"/>
              <w:bottom w:w="0" w:type="dxa"/>
              <w:right w:w="70" w:type="dxa"/>
            </w:tcMar>
            <w:vAlign w:val="center"/>
          </w:tcPr>
          <w:p w:rsidR="006C51EF" w:rsidRPr="00815464" w:rsidRDefault="006C51EF" w:rsidP="00956474">
            <w:pPr>
              <w:jc w:val="center"/>
              <w:rPr>
                <w:rFonts w:ascii="Arial Narrow" w:hAnsi="Arial Narrow"/>
                <w:sz w:val="18"/>
                <w:szCs w:val="18"/>
              </w:rPr>
            </w:pPr>
            <w:r>
              <w:rPr>
                <w:rFonts w:ascii="Arial Narrow" w:hAnsi="Arial Narrow"/>
                <w:sz w:val="18"/>
                <w:szCs w:val="18"/>
              </w:rPr>
              <w:t>-13,7%</w:t>
            </w:r>
          </w:p>
        </w:tc>
        <w:tc>
          <w:tcPr>
            <w:tcW w:w="1312" w:type="dxa"/>
            <w:tcMar>
              <w:top w:w="0" w:type="dxa"/>
              <w:left w:w="70" w:type="dxa"/>
              <w:bottom w:w="0" w:type="dxa"/>
              <w:right w:w="70" w:type="dxa"/>
            </w:tcMar>
            <w:vAlign w:val="center"/>
          </w:tcPr>
          <w:p w:rsidR="006C51EF" w:rsidRPr="00815464" w:rsidRDefault="006C51EF" w:rsidP="00BF6BA1">
            <w:pPr>
              <w:spacing w:line="270" w:lineRule="exact"/>
              <w:jc w:val="center"/>
              <w:rPr>
                <w:rFonts w:ascii="Arial Narrow" w:eastAsia="Calibri" w:hAnsi="Arial Narrow" w:cs="Arial"/>
                <w:bCs/>
                <w:sz w:val="18"/>
                <w:szCs w:val="18"/>
              </w:rPr>
            </w:pPr>
          </w:p>
        </w:tc>
      </w:tr>
      <w:tr w:rsidR="006C51EF" w:rsidRPr="004B1794" w:rsidTr="006C51EF">
        <w:trPr>
          <w:trHeight w:val="264"/>
          <w:jc w:val="center"/>
        </w:trPr>
        <w:tc>
          <w:tcPr>
            <w:tcW w:w="3830" w:type="dxa"/>
            <w:tcMar>
              <w:top w:w="0" w:type="dxa"/>
              <w:left w:w="70" w:type="dxa"/>
              <w:bottom w:w="0" w:type="dxa"/>
              <w:right w:w="70" w:type="dxa"/>
            </w:tcMar>
            <w:vAlign w:val="center"/>
          </w:tcPr>
          <w:p w:rsidR="006C51EF" w:rsidRPr="0058360E" w:rsidRDefault="006C51EF" w:rsidP="00BF6BA1">
            <w:pPr>
              <w:spacing w:line="270" w:lineRule="exact"/>
              <w:rPr>
                <w:rFonts w:ascii="Arial Narrow" w:eastAsia="Calibri" w:hAnsi="Arial Narrow" w:cs="Arial"/>
                <w:color w:val="000000"/>
                <w:sz w:val="18"/>
                <w:szCs w:val="18"/>
              </w:rPr>
            </w:pPr>
            <w:r>
              <w:rPr>
                <w:rFonts w:ascii="Arial Narrow" w:eastAsia="Calibri" w:hAnsi="Arial Narrow" w:cs="Arial"/>
                <w:color w:val="000000"/>
                <w:sz w:val="18"/>
                <w:szCs w:val="18"/>
              </w:rPr>
              <w:t>Prihodi od investicija bez troškova</w:t>
            </w:r>
          </w:p>
        </w:tc>
        <w:tc>
          <w:tcPr>
            <w:tcW w:w="1428" w:type="dxa"/>
            <w:tcMar>
              <w:top w:w="0" w:type="dxa"/>
              <w:left w:w="70" w:type="dxa"/>
              <w:bottom w:w="0" w:type="dxa"/>
              <w:right w:w="70" w:type="dxa"/>
            </w:tcMar>
            <w:vAlign w:val="center"/>
          </w:tcPr>
          <w:p w:rsidR="006C51EF" w:rsidRPr="00815464" w:rsidRDefault="006C51EF" w:rsidP="00580FD4">
            <w:pPr>
              <w:jc w:val="center"/>
              <w:rPr>
                <w:rFonts w:ascii="Arial Narrow" w:hAnsi="Arial Narrow"/>
                <w:sz w:val="18"/>
                <w:szCs w:val="18"/>
              </w:rPr>
            </w:pPr>
            <w:r>
              <w:rPr>
                <w:rFonts w:ascii="Arial Narrow" w:hAnsi="Arial Narrow"/>
                <w:sz w:val="18"/>
                <w:szCs w:val="18"/>
              </w:rPr>
              <w:t>42,8</w:t>
            </w:r>
          </w:p>
        </w:tc>
        <w:tc>
          <w:tcPr>
            <w:tcW w:w="1311" w:type="dxa"/>
            <w:shd w:val="clear" w:color="auto" w:fill="E0F1E5"/>
            <w:tcMar>
              <w:top w:w="0" w:type="dxa"/>
              <w:left w:w="70" w:type="dxa"/>
              <w:bottom w:w="0" w:type="dxa"/>
              <w:right w:w="70" w:type="dxa"/>
            </w:tcMar>
            <w:vAlign w:val="center"/>
          </w:tcPr>
          <w:p w:rsidR="006C51EF" w:rsidRPr="00815464" w:rsidRDefault="006C51EF" w:rsidP="00580FD4">
            <w:pPr>
              <w:jc w:val="center"/>
              <w:rPr>
                <w:rFonts w:ascii="Arial Narrow" w:hAnsi="Arial Narrow"/>
                <w:sz w:val="18"/>
                <w:szCs w:val="18"/>
              </w:rPr>
            </w:pPr>
            <w:r>
              <w:rPr>
                <w:rFonts w:ascii="Arial Narrow" w:hAnsi="Arial Narrow"/>
                <w:sz w:val="18"/>
                <w:szCs w:val="18"/>
              </w:rPr>
              <w:t>53,1</w:t>
            </w:r>
          </w:p>
        </w:tc>
        <w:tc>
          <w:tcPr>
            <w:tcW w:w="1311" w:type="dxa"/>
            <w:tcMar>
              <w:top w:w="0" w:type="dxa"/>
              <w:left w:w="70" w:type="dxa"/>
              <w:bottom w:w="0" w:type="dxa"/>
              <w:right w:w="70" w:type="dxa"/>
            </w:tcMar>
            <w:vAlign w:val="center"/>
          </w:tcPr>
          <w:p w:rsidR="006C51EF" w:rsidRPr="00815464" w:rsidRDefault="006C51EF" w:rsidP="00580FD4">
            <w:pPr>
              <w:jc w:val="center"/>
              <w:rPr>
                <w:rFonts w:ascii="Arial Narrow" w:hAnsi="Arial Narrow"/>
                <w:sz w:val="18"/>
                <w:szCs w:val="18"/>
              </w:rPr>
            </w:pPr>
            <w:r>
              <w:rPr>
                <w:rFonts w:ascii="Arial Narrow" w:hAnsi="Arial Narrow"/>
                <w:sz w:val="18"/>
                <w:szCs w:val="18"/>
              </w:rPr>
              <w:t>+24,1%</w:t>
            </w:r>
          </w:p>
        </w:tc>
        <w:tc>
          <w:tcPr>
            <w:tcW w:w="1312" w:type="dxa"/>
            <w:tcMar>
              <w:top w:w="0" w:type="dxa"/>
              <w:left w:w="70" w:type="dxa"/>
              <w:bottom w:w="0" w:type="dxa"/>
              <w:right w:w="70" w:type="dxa"/>
            </w:tcMar>
            <w:vAlign w:val="center"/>
          </w:tcPr>
          <w:p w:rsidR="006C51EF" w:rsidRPr="00815464" w:rsidRDefault="006C51EF" w:rsidP="00BF6BA1">
            <w:pPr>
              <w:spacing w:line="270" w:lineRule="exact"/>
              <w:jc w:val="center"/>
              <w:rPr>
                <w:rFonts w:ascii="Arial Narrow" w:eastAsia="Calibri" w:hAnsi="Arial Narrow" w:cs="Arial"/>
                <w:sz w:val="18"/>
                <w:szCs w:val="18"/>
              </w:rPr>
            </w:pPr>
          </w:p>
        </w:tc>
      </w:tr>
      <w:tr w:rsidR="006C51EF" w:rsidRPr="004B1794" w:rsidTr="006C51EF">
        <w:trPr>
          <w:trHeight w:val="264"/>
          <w:jc w:val="center"/>
        </w:trPr>
        <w:tc>
          <w:tcPr>
            <w:tcW w:w="3830" w:type="dxa"/>
            <w:tcMar>
              <w:top w:w="0" w:type="dxa"/>
              <w:left w:w="70" w:type="dxa"/>
              <w:bottom w:w="0" w:type="dxa"/>
              <w:right w:w="70" w:type="dxa"/>
            </w:tcMar>
            <w:vAlign w:val="center"/>
          </w:tcPr>
          <w:p w:rsidR="006C51EF" w:rsidRPr="0058360E" w:rsidRDefault="006C51EF" w:rsidP="00BF6BA1">
            <w:pPr>
              <w:spacing w:line="270" w:lineRule="exact"/>
              <w:rPr>
                <w:rFonts w:ascii="Arial Narrow" w:eastAsia="Calibri" w:hAnsi="Arial Narrow" w:cs="Arial"/>
                <w:color w:val="000000"/>
                <w:sz w:val="8"/>
                <w:szCs w:val="8"/>
              </w:rPr>
            </w:pPr>
          </w:p>
        </w:tc>
        <w:tc>
          <w:tcPr>
            <w:tcW w:w="1428" w:type="dxa"/>
            <w:tcMar>
              <w:top w:w="0" w:type="dxa"/>
              <w:left w:w="70" w:type="dxa"/>
              <w:bottom w:w="0" w:type="dxa"/>
              <w:right w:w="70" w:type="dxa"/>
            </w:tcMar>
          </w:tcPr>
          <w:p w:rsidR="006C51EF" w:rsidRPr="00815464" w:rsidRDefault="006C51EF" w:rsidP="00BF6BA1">
            <w:pPr>
              <w:spacing w:line="270" w:lineRule="exact"/>
              <w:jc w:val="center"/>
              <w:rPr>
                <w:rFonts w:ascii="Arial Narrow" w:eastAsia="Calibri" w:hAnsi="Arial Narrow" w:cs="Arial"/>
                <w:b/>
                <w:bCs/>
                <w:sz w:val="18"/>
                <w:szCs w:val="18"/>
              </w:rPr>
            </w:pPr>
          </w:p>
        </w:tc>
        <w:tc>
          <w:tcPr>
            <w:tcW w:w="1311" w:type="dxa"/>
            <w:shd w:val="clear" w:color="auto" w:fill="E0F1E5"/>
            <w:tcMar>
              <w:top w:w="0" w:type="dxa"/>
              <w:left w:w="70" w:type="dxa"/>
              <w:bottom w:w="0" w:type="dxa"/>
              <w:right w:w="70" w:type="dxa"/>
            </w:tcMar>
            <w:vAlign w:val="center"/>
          </w:tcPr>
          <w:p w:rsidR="006C51EF" w:rsidRPr="00815464" w:rsidRDefault="006C51EF" w:rsidP="00BF6BA1">
            <w:pPr>
              <w:spacing w:line="270" w:lineRule="exact"/>
              <w:jc w:val="center"/>
              <w:rPr>
                <w:rFonts w:ascii="Arial Narrow" w:eastAsia="Calibri" w:hAnsi="Arial Narrow" w:cs="Arial"/>
                <w:sz w:val="18"/>
                <w:szCs w:val="18"/>
              </w:rPr>
            </w:pPr>
          </w:p>
        </w:tc>
        <w:tc>
          <w:tcPr>
            <w:tcW w:w="1311" w:type="dxa"/>
            <w:tcMar>
              <w:top w:w="0" w:type="dxa"/>
              <w:left w:w="70" w:type="dxa"/>
              <w:bottom w:w="0" w:type="dxa"/>
              <w:right w:w="70" w:type="dxa"/>
            </w:tcMar>
            <w:vAlign w:val="center"/>
          </w:tcPr>
          <w:p w:rsidR="006C51EF" w:rsidRPr="00815464" w:rsidRDefault="006C51EF" w:rsidP="00BF6BA1">
            <w:pPr>
              <w:spacing w:line="270" w:lineRule="exact"/>
              <w:jc w:val="center"/>
              <w:rPr>
                <w:rFonts w:ascii="Arial Narrow" w:eastAsia="Calibri" w:hAnsi="Arial Narrow" w:cs="Arial"/>
                <w:sz w:val="18"/>
                <w:szCs w:val="18"/>
              </w:rPr>
            </w:pPr>
          </w:p>
        </w:tc>
        <w:tc>
          <w:tcPr>
            <w:tcW w:w="1312" w:type="dxa"/>
            <w:tcMar>
              <w:top w:w="0" w:type="dxa"/>
              <w:left w:w="70" w:type="dxa"/>
              <w:bottom w:w="0" w:type="dxa"/>
              <w:right w:w="70" w:type="dxa"/>
            </w:tcMar>
            <w:vAlign w:val="center"/>
          </w:tcPr>
          <w:p w:rsidR="006C51EF" w:rsidRPr="00815464" w:rsidRDefault="006C51EF" w:rsidP="00BF6BA1">
            <w:pPr>
              <w:spacing w:line="270" w:lineRule="exact"/>
              <w:jc w:val="center"/>
              <w:rPr>
                <w:rFonts w:ascii="Arial Narrow" w:eastAsia="Calibri" w:hAnsi="Arial Narrow" w:cs="Arial"/>
                <w:sz w:val="18"/>
                <w:szCs w:val="18"/>
              </w:rPr>
            </w:pPr>
          </w:p>
        </w:tc>
      </w:tr>
      <w:tr w:rsidR="006C51EF" w:rsidRPr="004B1794" w:rsidTr="006C51EF">
        <w:trPr>
          <w:trHeight w:val="264"/>
          <w:jc w:val="center"/>
        </w:trPr>
        <w:tc>
          <w:tcPr>
            <w:tcW w:w="3830" w:type="dxa"/>
            <w:tcMar>
              <w:top w:w="0" w:type="dxa"/>
              <w:left w:w="70" w:type="dxa"/>
              <w:bottom w:w="0" w:type="dxa"/>
              <w:right w:w="70" w:type="dxa"/>
            </w:tcMar>
            <w:vAlign w:val="center"/>
          </w:tcPr>
          <w:p w:rsidR="006C51EF" w:rsidRPr="0058360E" w:rsidRDefault="006C51EF" w:rsidP="00BF6BA1">
            <w:pPr>
              <w:spacing w:line="270" w:lineRule="exact"/>
              <w:rPr>
                <w:rFonts w:ascii="Arial Narrow" w:eastAsia="Calibri" w:hAnsi="Arial Narrow" w:cs="Arial"/>
                <w:sz w:val="18"/>
                <w:szCs w:val="18"/>
              </w:rPr>
            </w:pPr>
            <w:r>
              <w:rPr>
                <w:rFonts w:ascii="Arial Narrow" w:eastAsia="Calibri" w:hAnsi="Arial Narrow" w:cs="Arial"/>
                <w:sz w:val="18"/>
                <w:szCs w:val="18"/>
              </w:rPr>
              <w:t>Operativni prihod</w:t>
            </w:r>
          </w:p>
        </w:tc>
        <w:tc>
          <w:tcPr>
            <w:tcW w:w="1428" w:type="dxa"/>
            <w:tcMar>
              <w:top w:w="0" w:type="dxa"/>
              <w:left w:w="70" w:type="dxa"/>
              <w:bottom w:w="0" w:type="dxa"/>
              <w:right w:w="70" w:type="dxa"/>
            </w:tcMar>
            <w:vAlign w:val="center"/>
          </w:tcPr>
          <w:p w:rsidR="006C51EF" w:rsidRPr="00815464" w:rsidRDefault="006C51EF" w:rsidP="003009BD">
            <w:pPr>
              <w:jc w:val="center"/>
              <w:rPr>
                <w:rFonts w:ascii="Arial Narrow" w:hAnsi="Arial Narrow"/>
                <w:sz w:val="18"/>
                <w:szCs w:val="18"/>
              </w:rPr>
            </w:pPr>
            <w:r>
              <w:rPr>
                <w:rFonts w:ascii="Arial Narrow" w:hAnsi="Arial Narrow"/>
                <w:sz w:val="18"/>
                <w:szCs w:val="18"/>
              </w:rPr>
              <w:t>199,0</w:t>
            </w:r>
          </w:p>
        </w:tc>
        <w:tc>
          <w:tcPr>
            <w:tcW w:w="1311" w:type="dxa"/>
            <w:shd w:val="clear" w:color="auto" w:fill="E0F1E5"/>
            <w:tcMar>
              <w:top w:w="0" w:type="dxa"/>
              <w:left w:w="70" w:type="dxa"/>
              <w:bottom w:w="0" w:type="dxa"/>
              <w:right w:w="70" w:type="dxa"/>
            </w:tcMar>
            <w:vAlign w:val="center"/>
          </w:tcPr>
          <w:p w:rsidR="006C51EF" w:rsidRPr="00815464" w:rsidRDefault="006C51EF" w:rsidP="003009BD">
            <w:pPr>
              <w:jc w:val="center"/>
              <w:rPr>
                <w:rFonts w:ascii="Arial Narrow" w:hAnsi="Arial Narrow"/>
                <w:sz w:val="18"/>
                <w:szCs w:val="18"/>
              </w:rPr>
            </w:pPr>
            <w:r>
              <w:rPr>
                <w:rFonts w:ascii="Arial Narrow" w:hAnsi="Arial Narrow"/>
                <w:sz w:val="18"/>
                <w:szCs w:val="18"/>
              </w:rPr>
              <w:t>192,3</w:t>
            </w:r>
          </w:p>
        </w:tc>
        <w:tc>
          <w:tcPr>
            <w:tcW w:w="1311" w:type="dxa"/>
            <w:tcMar>
              <w:top w:w="0" w:type="dxa"/>
              <w:left w:w="70" w:type="dxa"/>
              <w:bottom w:w="0" w:type="dxa"/>
              <w:right w:w="70" w:type="dxa"/>
            </w:tcMar>
            <w:vAlign w:val="center"/>
          </w:tcPr>
          <w:p w:rsidR="006C51EF" w:rsidRPr="00815464" w:rsidRDefault="006C51EF">
            <w:pPr>
              <w:jc w:val="center"/>
              <w:rPr>
                <w:rFonts w:ascii="Arial Narrow" w:hAnsi="Arial Narrow"/>
                <w:sz w:val="18"/>
                <w:szCs w:val="18"/>
              </w:rPr>
            </w:pPr>
            <w:r>
              <w:rPr>
                <w:rFonts w:ascii="Arial Narrow" w:hAnsi="Arial Narrow"/>
                <w:sz w:val="18"/>
                <w:szCs w:val="18"/>
              </w:rPr>
              <w:t>-3,4%</w:t>
            </w:r>
          </w:p>
        </w:tc>
        <w:tc>
          <w:tcPr>
            <w:tcW w:w="1312" w:type="dxa"/>
            <w:tcMar>
              <w:top w:w="0" w:type="dxa"/>
              <w:left w:w="70" w:type="dxa"/>
              <w:bottom w:w="0" w:type="dxa"/>
              <w:right w:w="70" w:type="dxa"/>
            </w:tcMar>
            <w:vAlign w:val="center"/>
          </w:tcPr>
          <w:p w:rsidR="006C51EF" w:rsidRPr="00815464" w:rsidRDefault="006C51EF">
            <w:pPr>
              <w:jc w:val="center"/>
              <w:rPr>
                <w:rFonts w:ascii="Arial Narrow" w:hAnsi="Arial Narrow"/>
                <w:sz w:val="18"/>
                <w:szCs w:val="18"/>
              </w:rPr>
            </w:pPr>
            <w:r>
              <w:rPr>
                <w:rFonts w:ascii="Arial Narrow" w:hAnsi="Arial Narrow"/>
                <w:sz w:val="18"/>
                <w:szCs w:val="18"/>
              </w:rPr>
              <w:t> </w:t>
            </w:r>
          </w:p>
        </w:tc>
      </w:tr>
      <w:tr w:rsidR="006C51EF" w:rsidRPr="004B1794" w:rsidTr="006C51EF">
        <w:trPr>
          <w:trHeight w:val="264"/>
          <w:jc w:val="center"/>
        </w:trPr>
        <w:tc>
          <w:tcPr>
            <w:tcW w:w="3830" w:type="dxa"/>
            <w:tcMar>
              <w:top w:w="0" w:type="dxa"/>
              <w:left w:w="70" w:type="dxa"/>
              <w:bottom w:w="0" w:type="dxa"/>
              <w:right w:w="70" w:type="dxa"/>
            </w:tcMar>
            <w:vAlign w:val="center"/>
            <w:hideMark/>
          </w:tcPr>
          <w:p w:rsidR="006C51EF" w:rsidRPr="0058360E" w:rsidRDefault="006C51EF" w:rsidP="0058360E">
            <w:pPr>
              <w:spacing w:line="270" w:lineRule="exact"/>
              <w:rPr>
                <w:rFonts w:ascii="Arial Narrow" w:eastAsia="Calibri" w:hAnsi="Arial Narrow" w:cs="Arial"/>
                <w:b/>
                <w:bCs/>
                <w:sz w:val="18"/>
                <w:szCs w:val="18"/>
              </w:rPr>
            </w:pPr>
            <w:r>
              <w:rPr>
                <w:rFonts w:ascii="Arial Narrow" w:hAnsi="Arial Narrow" w:cs="Arial"/>
                <w:b/>
                <w:bCs/>
                <w:sz w:val="18"/>
                <w:szCs w:val="18"/>
              </w:rPr>
              <w:t>Operativni prihod,</w:t>
            </w:r>
            <w:r>
              <w:rPr>
                <w:rFonts w:ascii="Arial Narrow" w:hAnsi="Arial Narrow" w:cs="Arial"/>
                <w:sz w:val="18"/>
                <w:szCs w:val="18"/>
              </w:rPr>
              <w:br/>
            </w:r>
            <w:r>
              <w:rPr>
                <w:rFonts w:ascii="Arial Narrow" w:hAnsi="Arial Narrow" w:cs="Arial"/>
                <w:sz w:val="16"/>
                <w:szCs w:val="16"/>
              </w:rPr>
              <w:t>bez korigovanih stavki</w:t>
            </w:r>
            <w:r>
              <w:rPr>
                <w:rFonts w:ascii="Arial Narrow" w:hAnsi="Arial Narrow" w:cs="Arial"/>
                <w:sz w:val="16"/>
                <w:szCs w:val="16"/>
                <w:vertAlign w:val="superscript"/>
              </w:rPr>
              <w:t>2</w:t>
            </w:r>
          </w:p>
        </w:tc>
        <w:tc>
          <w:tcPr>
            <w:tcW w:w="1428" w:type="dxa"/>
            <w:tcMar>
              <w:top w:w="0" w:type="dxa"/>
              <w:left w:w="70" w:type="dxa"/>
              <w:bottom w:w="0" w:type="dxa"/>
              <w:right w:w="70" w:type="dxa"/>
            </w:tcMar>
            <w:vAlign w:val="center"/>
          </w:tcPr>
          <w:p w:rsidR="006C51EF" w:rsidRPr="00815464" w:rsidRDefault="006C51EF">
            <w:pPr>
              <w:jc w:val="center"/>
              <w:rPr>
                <w:rFonts w:ascii="Arial Narrow" w:hAnsi="Arial Narrow"/>
                <w:b/>
                <w:bCs/>
                <w:sz w:val="18"/>
                <w:szCs w:val="18"/>
              </w:rPr>
            </w:pPr>
            <w:r>
              <w:rPr>
                <w:rFonts w:ascii="Arial Narrow" w:hAnsi="Arial Narrow"/>
                <w:b/>
                <w:bCs/>
                <w:sz w:val="18"/>
                <w:szCs w:val="18"/>
              </w:rPr>
              <w:t>206,1</w:t>
            </w:r>
          </w:p>
        </w:tc>
        <w:tc>
          <w:tcPr>
            <w:tcW w:w="1311" w:type="dxa"/>
            <w:shd w:val="clear" w:color="auto" w:fill="E0F1E5"/>
            <w:tcMar>
              <w:top w:w="0" w:type="dxa"/>
              <w:left w:w="70" w:type="dxa"/>
              <w:bottom w:w="0" w:type="dxa"/>
              <w:right w:w="70" w:type="dxa"/>
            </w:tcMar>
            <w:vAlign w:val="center"/>
          </w:tcPr>
          <w:p w:rsidR="006C51EF" w:rsidRPr="00815464" w:rsidRDefault="006C51EF">
            <w:pPr>
              <w:jc w:val="center"/>
              <w:rPr>
                <w:rFonts w:ascii="Arial Narrow" w:hAnsi="Arial Narrow"/>
                <w:b/>
                <w:bCs/>
                <w:sz w:val="18"/>
                <w:szCs w:val="18"/>
              </w:rPr>
            </w:pPr>
            <w:r>
              <w:rPr>
                <w:rFonts w:ascii="Arial Narrow" w:hAnsi="Arial Narrow"/>
                <w:b/>
                <w:bCs/>
                <w:sz w:val="18"/>
                <w:szCs w:val="18"/>
              </w:rPr>
              <w:t>194,1</w:t>
            </w:r>
          </w:p>
        </w:tc>
        <w:tc>
          <w:tcPr>
            <w:tcW w:w="1311" w:type="dxa"/>
            <w:tcMar>
              <w:top w:w="0" w:type="dxa"/>
              <w:left w:w="70" w:type="dxa"/>
              <w:bottom w:w="0" w:type="dxa"/>
              <w:right w:w="70" w:type="dxa"/>
            </w:tcMar>
            <w:vAlign w:val="center"/>
          </w:tcPr>
          <w:p w:rsidR="006C51EF" w:rsidRPr="003009BD" w:rsidRDefault="006C51EF" w:rsidP="00956474">
            <w:pPr>
              <w:jc w:val="center"/>
              <w:rPr>
                <w:rFonts w:ascii="Arial Narrow" w:hAnsi="Arial Narrow"/>
                <w:b/>
                <w:sz w:val="18"/>
                <w:szCs w:val="18"/>
              </w:rPr>
            </w:pPr>
            <w:r>
              <w:rPr>
                <w:rFonts w:ascii="Arial Narrow" w:hAnsi="Arial Narrow"/>
                <w:b/>
                <w:bCs/>
                <w:sz w:val="18"/>
                <w:szCs w:val="18"/>
              </w:rPr>
              <w:t>-5,8%</w:t>
            </w:r>
          </w:p>
        </w:tc>
        <w:tc>
          <w:tcPr>
            <w:tcW w:w="1312" w:type="dxa"/>
            <w:tcMar>
              <w:top w:w="0" w:type="dxa"/>
              <w:left w:w="70" w:type="dxa"/>
              <w:bottom w:w="0" w:type="dxa"/>
              <w:right w:w="70" w:type="dxa"/>
            </w:tcMar>
            <w:vAlign w:val="center"/>
          </w:tcPr>
          <w:p w:rsidR="006C51EF" w:rsidRPr="00815464" w:rsidRDefault="006C51EF" w:rsidP="00956474">
            <w:pPr>
              <w:jc w:val="center"/>
              <w:rPr>
                <w:rFonts w:ascii="Arial Narrow" w:hAnsi="Arial Narrow"/>
                <w:b/>
                <w:bCs/>
                <w:sz w:val="18"/>
                <w:szCs w:val="18"/>
              </w:rPr>
            </w:pPr>
            <w:r>
              <w:rPr>
                <w:rFonts w:ascii="Arial Narrow" w:hAnsi="Arial Narrow"/>
                <w:b/>
                <w:bCs/>
                <w:sz w:val="18"/>
                <w:szCs w:val="18"/>
              </w:rPr>
              <w:t>-6,1%</w:t>
            </w:r>
          </w:p>
        </w:tc>
      </w:tr>
      <w:tr w:rsidR="006C51EF" w:rsidRPr="004B1794" w:rsidTr="006C51EF">
        <w:trPr>
          <w:trHeight w:val="65"/>
          <w:jc w:val="center"/>
        </w:trPr>
        <w:tc>
          <w:tcPr>
            <w:tcW w:w="3830" w:type="dxa"/>
            <w:tcMar>
              <w:top w:w="0" w:type="dxa"/>
              <w:left w:w="70" w:type="dxa"/>
              <w:bottom w:w="0" w:type="dxa"/>
              <w:right w:w="70" w:type="dxa"/>
            </w:tcMar>
            <w:vAlign w:val="center"/>
          </w:tcPr>
          <w:p w:rsidR="006C51EF" w:rsidRPr="0058360E" w:rsidRDefault="006C51EF" w:rsidP="00BF6BA1">
            <w:pPr>
              <w:spacing w:line="270" w:lineRule="exact"/>
              <w:rPr>
                <w:rFonts w:ascii="Arial Narrow" w:eastAsia="Calibri" w:hAnsi="Arial Narrow" w:cs="Arial"/>
                <w:sz w:val="8"/>
                <w:szCs w:val="8"/>
              </w:rPr>
            </w:pPr>
          </w:p>
        </w:tc>
        <w:tc>
          <w:tcPr>
            <w:tcW w:w="1428" w:type="dxa"/>
            <w:tcMar>
              <w:top w:w="0" w:type="dxa"/>
              <w:left w:w="70" w:type="dxa"/>
              <w:bottom w:w="0" w:type="dxa"/>
              <w:right w:w="70" w:type="dxa"/>
            </w:tcMar>
          </w:tcPr>
          <w:p w:rsidR="006C51EF" w:rsidRPr="00815464" w:rsidRDefault="006C51EF" w:rsidP="00BF6BA1">
            <w:pPr>
              <w:spacing w:line="270" w:lineRule="exact"/>
              <w:jc w:val="center"/>
              <w:rPr>
                <w:rFonts w:ascii="Arial Narrow" w:eastAsia="Calibri" w:hAnsi="Arial Narrow" w:cs="Arial"/>
                <w:b/>
                <w:bCs/>
                <w:sz w:val="18"/>
                <w:szCs w:val="18"/>
              </w:rPr>
            </w:pPr>
          </w:p>
        </w:tc>
        <w:tc>
          <w:tcPr>
            <w:tcW w:w="1311" w:type="dxa"/>
            <w:shd w:val="clear" w:color="auto" w:fill="E0F1E5"/>
            <w:tcMar>
              <w:top w:w="0" w:type="dxa"/>
              <w:left w:w="70" w:type="dxa"/>
              <w:bottom w:w="0" w:type="dxa"/>
              <w:right w:w="70" w:type="dxa"/>
            </w:tcMar>
            <w:vAlign w:val="center"/>
          </w:tcPr>
          <w:p w:rsidR="006C51EF" w:rsidRPr="00815464" w:rsidRDefault="006C51EF" w:rsidP="00BF6BA1">
            <w:pPr>
              <w:spacing w:line="270" w:lineRule="exact"/>
              <w:jc w:val="center"/>
              <w:rPr>
                <w:rFonts w:ascii="Arial Narrow" w:eastAsia="Calibri" w:hAnsi="Arial Narrow" w:cs="Arial"/>
                <w:b/>
                <w:bCs/>
                <w:sz w:val="18"/>
                <w:szCs w:val="18"/>
              </w:rPr>
            </w:pPr>
          </w:p>
        </w:tc>
        <w:tc>
          <w:tcPr>
            <w:tcW w:w="1311" w:type="dxa"/>
            <w:tcMar>
              <w:top w:w="0" w:type="dxa"/>
              <w:left w:w="70" w:type="dxa"/>
              <w:bottom w:w="0" w:type="dxa"/>
              <w:right w:w="70" w:type="dxa"/>
            </w:tcMar>
            <w:vAlign w:val="center"/>
          </w:tcPr>
          <w:p w:rsidR="006C51EF" w:rsidRPr="00815464" w:rsidRDefault="006C51EF" w:rsidP="00BF6BA1">
            <w:pPr>
              <w:spacing w:line="270" w:lineRule="exact"/>
              <w:jc w:val="center"/>
              <w:rPr>
                <w:rFonts w:ascii="Arial Narrow" w:eastAsia="Calibri" w:hAnsi="Arial Narrow" w:cs="Arial"/>
                <w:sz w:val="18"/>
                <w:szCs w:val="18"/>
              </w:rPr>
            </w:pPr>
          </w:p>
        </w:tc>
        <w:tc>
          <w:tcPr>
            <w:tcW w:w="1312" w:type="dxa"/>
            <w:tcMar>
              <w:top w:w="0" w:type="dxa"/>
              <w:left w:w="70" w:type="dxa"/>
              <w:bottom w:w="0" w:type="dxa"/>
              <w:right w:w="70" w:type="dxa"/>
            </w:tcMar>
            <w:vAlign w:val="center"/>
          </w:tcPr>
          <w:p w:rsidR="006C51EF" w:rsidRPr="00815464" w:rsidRDefault="006C51EF" w:rsidP="00BF6BA1">
            <w:pPr>
              <w:spacing w:line="270" w:lineRule="exact"/>
              <w:jc w:val="center"/>
              <w:rPr>
                <w:rFonts w:ascii="Arial Narrow" w:eastAsia="Calibri" w:hAnsi="Arial Narrow" w:cs="Arial"/>
                <w:sz w:val="18"/>
                <w:szCs w:val="18"/>
              </w:rPr>
            </w:pPr>
          </w:p>
        </w:tc>
      </w:tr>
      <w:tr w:rsidR="006C51EF" w:rsidRPr="004B1794" w:rsidTr="006C51EF">
        <w:trPr>
          <w:trHeight w:val="153"/>
          <w:jc w:val="center"/>
        </w:trPr>
        <w:tc>
          <w:tcPr>
            <w:tcW w:w="3830" w:type="dxa"/>
            <w:tcMar>
              <w:top w:w="0" w:type="dxa"/>
              <w:left w:w="70" w:type="dxa"/>
              <w:bottom w:w="0" w:type="dxa"/>
              <w:right w:w="70" w:type="dxa"/>
            </w:tcMar>
            <w:vAlign w:val="center"/>
            <w:hideMark/>
          </w:tcPr>
          <w:p w:rsidR="006C51EF" w:rsidRPr="0058360E" w:rsidRDefault="006C51EF" w:rsidP="0058360E">
            <w:pPr>
              <w:spacing w:line="270" w:lineRule="exact"/>
              <w:rPr>
                <w:rFonts w:ascii="Arial Narrow" w:eastAsia="Calibri" w:hAnsi="Arial Narrow" w:cs="Arial"/>
                <w:color w:val="000000"/>
                <w:sz w:val="18"/>
                <w:szCs w:val="18"/>
              </w:rPr>
            </w:pPr>
            <w:r>
              <w:rPr>
                <w:rFonts w:ascii="Arial Narrow" w:hAnsi="Arial Narrow" w:cs="Arial"/>
                <w:color w:val="000000"/>
                <w:sz w:val="18"/>
                <w:szCs w:val="18"/>
              </w:rPr>
              <w:t>Neto rezultat (udeo grupe)</w:t>
            </w:r>
          </w:p>
        </w:tc>
        <w:tc>
          <w:tcPr>
            <w:tcW w:w="1428" w:type="dxa"/>
            <w:tcMar>
              <w:top w:w="0" w:type="dxa"/>
              <w:left w:w="70" w:type="dxa"/>
              <w:bottom w:w="0" w:type="dxa"/>
              <w:right w:w="70" w:type="dxa"/>
            </w:tcMar>
            <w:vAlign w:val="center"/>
          </w:tcPr>
          <w:p w:rsidR="006C51EF" w:rsidRPr="00815464" w:rsidRDefault="006C51EF">
            <w:pPr>
              <w:jc w:val="center"/>
              <w:rPr>
                <w:rFonts w:ascii="Arial Narrow" w:hAnsi="Arial Narrow"/>
                <w:sz w:val="18"/>
                <w:szCs w:val="18"/>
              </w:rPr>
            </w:pPr>
            <w:r>
              <w:rPr>
                <w:rFonts w:ascii="Arial Narrow" w:hAnsi="Arial Narrow"/>
                <w:sz w:val="18"/>
                <w:szCs w:val="18"/>
              </w:rPr>
              <w:t>125,0</w:t>
            </w:r>
          </w:p>
        </w:tc>
        <w:tc>
          <w:tcPr>
            <w:tcW w:w="1311" w:type="dxa"/>
            <w:shd w:val="clear" w:color="auto" w:fill="E0F1E5"/>
            <w:tcMar>
              <w:top w:w="0" w:type="dxa"/>
              <w:left w:w="70" w:type="dxa"/>
              <w:bottom w:w="0" w:type="dxa"/>
              <w:right w:w="70" w:type="dxa"/>
            </w:tcMar>
            <w:vAlign w:val="center"/>
          </w:tcPr>
          <w:p w:rsidR="006C51EF" w:rsidRPr="00815464" w:rsidRDefault="006C51EF">
            <w:pPr>
              <w:jc w:val="center"/>
              <w:rPr>
                <w:rFonts w:ascii="Arial Narrow" w:hAnsi="Arial Narrow"/>
                <w:sz w:val="18"/>
                <w:szCs w:val="18"/>
              </w:rPr>
            </w:pPr>
            <w:r>
              <w:rPr>
                <w:rFonts w:ascii="Arial Narrow" w:hAnsi="Arial Narrow"/>
                <w:sz w:val="18"/>
                <w:szCs w:val="18"/>
              </w:rPr>
              <w:t>126,2</w:t>
            </w:r>
          </w:p>
        </w:tc>
        <w:tc>
          <w:tcPr>
            <w:tcW w:w="1311" w:type="dxa"/>
            <w:tcMar>
              <w:top w:w="0" w:type="dxa"/>
              <w:left w:w="70" w:type="dxa"/>
              <w:bottom w:w="0" w:type="dxa"/>
              <w:right w:w="70" w:type="dxa"/>
            </w:tcMar>
            <w:vAlign w:val="center"/>
          </w:tcPr>
          <w:p w:rsidR="006C51EF" w:rsidRPr="00815464" w:rsidRDefault="006C51EF">
            <w:pPr>
              <w:jc w:val="center"/>
              <w:rPr>
                <w:rFonts w:ascii="Arial Narrow" w:hAnsi="Arial Narrow"/>
                <w:sz w:val="18"/>
                <w:szCs w:val="18"/>
              </w:rPr>
            </w:pPr>
            <w:r>
              <w:rPr>
                <w:rFonts w:ascii="Arial Narrow" w:hAnsi="Arial Narrow"/>
                <w:sz w:val="18"/>
                <w:szCs w:val="18"/>
              </w:rPr>
              <w:t>+1,0%</w:t>
            </w:r>
          </w:p>
        </w:tc>
        <w:tc>
          <w:tcPr>
            <w:tcW w:w="1312" w:type="dxa"/>
            <w:tcMar>
              <w:top w:w="0" w:type="dxa"/>
              <w:left w:w="70" w:type="dxa"/>
              <w:bottom w:w="0" w:type="dxa"/>
              <w:right w:w="70" w:type="dxa"/>
            </w:tcMar>
            <w:vAlign w:val="center"/>
          </w:tcPr>
          <w:p w:rsidR="006C51EF" w:rsidRPr="00815464" w:rsidRDefault="006C51EF">
            <w:pPr>
              <w:jc w:val="center"/>
              <w:rPr>
                <w:rFonts w:ascii="Arial Narrow" w:hAnsi="Arial Narrow"/>
                <w:sz w:val="18"/>
                <w:szCs w:val="18"/>
              </w:rPr>
            </w:pPr>
            <w:r>
              <w:rPr>
                <w:rFonts w:ascii="Arial Narrow" w:hAnsi="Arial Narrow"/>
                <w:sz w:val="18"/>
                <w:szCs w:val="18"/>
              </w:rPr>
              <w:t>+1,1%</w:t>
            </w:r>
          </w:p>
        </w:tc>
      </w:tr>
      <w:tr w:rsidR="006C51EF" w:rsidRPr="004B1794" w:rsidTr="006C51EF">
        <w:trPr>
          <w:trHeight w:val="153"/>
          <w:jc w:val="center"/>
        </w:trPr>
        <w:tc>
          <w:tcPr>
            <w:tcW w:w="3830" w:type="dxa"/>
            <w:tcMar>
              <w:top w:w="0" w:type="dxa"/>
              <w:left w:w="70" w:type="dxa"/>
              <w:bottom w:w="0" w:type="dxa"/>
              <w:right w:w="70" w:type="dxa"/>
            </w:tcMar>
            <w:vAlign w:val="center"/>
            <w:hideMark/>
          </w:tcPr>
          <w:p w:rsidR="006C51EF" w:rsidRPr="0058360E" w:rsidRDefault="006C51EF" w:rsidP="0058360E">
            <w:pPr>
              <w:spacing w:line="270" w:lineRule="exact"/>
              <w:rPr>
                <w:rFonts w:ascii="Arial Narrow" w:eastAsia="Calibri" w:hAnsi="Arial Narrow" w:cs="Arial"/>
                <w:b/>
                <w:bCs/>
                <w:color w:val="000000"/>
                <w:sz w:val="18"/>
                <w:szCs w:val="18"/>
              </w:rPr>
            </w:pPr>
            <w:r>
              <w:rPr>
                <w:rFonts w:ascii="Arial Narrow" w:hAnsi="Arial Narrow" w:cs="Arial"/>
                <w:b/>
                <w:bCs/>
                <w:color w:val="000000"/>
                <w:sz w:val="18"/>
                <w:szCs w:val="18"/>
              </w:rPr>
              <w:t>Neto rezultat (udeo grupe),</w:t>
            </w:r>
            <w:r>
              <w:rPr>
                <w:rFonts w:ascii="Arial Narrow" w:hAnsi="Arial Narrow" w:cs="Arial"/>
                <w:color w:val="000000"/>
                <w:sz w:val="16"/>
                <w:szCs w:val="16"/>
              </w:rPr>
              <w:t>bez korigovanih stavki</w:t>
            </w:r>
            <w:r>
              <w:rPr>
                <w:rFonts w:ascii="Arial Narrow" w:hAnsi="Arial Narrow" w:cs="Arial"/>
                <w:color w:val="000000"/>
                <w:sz w:val="16"/>
                <w:szCs w:val="16"/>
                <w:vertAlign w:val="superscript"/>
              </w:rPr>
              <w:t>2</w:t>
            </w:r>
          </w:p>
        </w:tc>
        <w:tc>
          <w:tcPr>
            <w:tcW w:w="1428" w:type="dxa"/>
            <w:tcMar>
              <w:top w:w="0" w:type="dxa"/>
              <w:left w:w="70" w:type="dxa"/>
              <w:bottom w:w="0" w:type="dxa"/>
              <w:right w:w="70" w:type="dxa"/>
            </w:tcMar>
            <w:vAlign w:val="center"/>
          </w:tcPr>
          <w:p w:rsidR="006C51EF" w:rsidRPr="00815464" w:rsidRDefault="006C51EF">
            <w:pPr>
              <w:jc w:val="center"/>
              <w:rPr>
                <w:rFonts w:ascii="Arial Narrow" w:hAnsi="Arial Narrow"/>
                <w:b/>
                <w:bCs/>
                <w:sz w:val="18"/>
                <w:szCs w:val="18"/>
              </w:rPr>
            </w:pPr>
            <w:r>
              <w:rPr>
                <w:rFonts w:ascii="Arial Narrow" w:hAnsi="Arial Narrow"/>
                <w:b/>
                <w:bCs/>
                <w:sz w:val="18"/>
                <w:szCs w:val="18"/>
              </w:rPr>
              <w:t>139,9</w:t>
            </w:r>
          </w:p>
        </w:tc>
        <w:tc>
          <w:tcPr>
            <w:tcW w:w="1311" w:type="dxa"/>
            <w:shd w:val="clear" w:color="auto" w:fill="E0F1E5"/>
            <w:tcMar>
              <w:top w:w="0" w:type="dxa"/>
              <w:left w:w="70" w:type="dxa"/>
              <w:bottom w:w="0" w:type="dxa"/>
              <w:right w:w="70" w:type="dxa"/>
            </w:tcMar>
            <w:vAlign w:val="center"/>
          </w:tcPr>
          <w:p w:rsidR="006C51EF" w:rsidRPr="003009BD" w:rsidRDefault="006C51EF">
            <w:pPr>
              <w:jc w:val="center"/>
              <w:rPr>
                <w:rFonts w:ascii="Arial Narrow" w:hAnsi="Arial Narrow"/>
                <w:b/>
                <w:sz w:val="18"/>
                <w:szCs w:val="18"/>
              </w:rPr>
            </w:pPr>
            <w:r>
              <w:rPr>
                <w:rFonts w:ascii="Arial Narrow" w:hAnsi="Arial Narrow"/>
                <w:b/>
                <w:bCs/>
                <w:sz w:val="18"/>
                <w:szCs w:val="18"/>
              </w:rPr>
              <w:t>140,9</w:t>
            </w:r>
          </w:p>
        </w:tc>
        <w:tc>
          <w:tcPr>
            <w:tcW w:w="1311" w:type="dxa"/>
            <w:tcMar>
              <w:top w:w="0" w:type="dxa"/>
              <w:left w:w="70" w:type="dxa"/>
              <w:bottom w:w="0" w:type="dxa"/>
              <w:right w:w="70" w:type="dxa"/>
            </w:tcMar>
            <w:vAlign w:val="center"/>
          </w:tcPr>
          <w:p w:rsidR="006C51EF" w:rsidRPr="00815464" w:rsidRDefault="006C51EF">
            <w:pPr>
              <w:jc w:val="center"/>
              <w:rPr>
                <w:rFonts w:ascii="Arial Narrow" w:hAnsi="Arial Narrow"/>
                <w:b/>
                <w:bCs/>
                <w:sz w:val="18"/>
                <w:szCs w:val="18"/>
              </w:rPr>
            </w:pPr>
            <w:r>
              <w:rPr>
                <w:rFonts w:ascii="Arial Narrow" w:hAnsi="Arial Narrow"/>
                <w:b/>
                <w:bCs/>
                <w:sz w:val="18"/>
                <w:szCs w:val="18"/>
              </w:rPr>
              <w:t>+0,7%</w:t>
            </w:r>
          </w:p>
        </w:tc>
        <w:tc>
          <w:tcPr>
            <w:tcW w:w="1312" w:type="dxa"/>
            <w:tcMar>
              <w:top w:w="0" w:type="dxa"/>
              <w:left w:w="70" w:type="dxa"/>
              <w:bottom w:w="0" w:type="dxa"/>
              <w:right w:w="70" w:type="dxa"/>
            </w:tcMar>
            <w:vAlign w:val="center"/>
          </w:tcPr>
          <w:p w:rsidR="006C51EF" w:rsidRPr="00815464" w:rsidRDefault="006C51EF" w:rsidP="00580FD4">
            <w:pPr>
              <w:jc w:val="center"/>
              <w:rPr>
                <w:rFonts w:ascii="Arial Narrow" w:hAnsi="Arial Narrow"/>
                <w:b/>
                <w:bCs/>
                <w:sz w:val="18"/>
                <w:szCs w:val="18"/>
              </w:rPr>
            </w:pPr>
            <w:r>
              <w:rPr>
                <w:rFonts w:ascii="Arial Narrow" w:hAnsi="Arial Narrow"/>
                <w:b/>
                <w:bCs/>
                <w:sz w:val="18"/>
                <w:szCs w:val="18"/>
              </w:rPr>
              <w:t>+0,8%</w:t>
            </w:r>
          </w:p>
        </w:tc>
      </w:tr>
      <w:tr w:rsidR="006C51EF" w:rsidRPr="004B1794" w:rsidTr="006C51EF">
        <w:trPr>
          <w:trHeight w:val="58"/>
          <w:jc w:val="center"/>
        </w:trPr>
        <w:tc>
          <w:tcPr>
            <w:tcW w:w="3830" w:type="dxa"/>
            <w:tcMar>
              <w:top w:w="0" w:type="dxa"/>
              <w:left w:w="70" w:type="dxa"/>
              <w:bottom w:w="0" w:type="dxa"/>
              <w:right w:w="70" w:type="dxa"/>
            </w:tcMar>
            <w:vAlign w:val="center"/>
          </w:tcPr>
          <w:p w:rsidR="006C51EF" w:rsidRPr="004B1794" w:rsidRDefault="006C51EF" w:rsidP="00BF6BA1">
            <w:pPr>
              <w:spacing w:line="270" w:lineRule="exact"/>
              <w:rPr>
                <w:rFonts w:ascii="Arial Narrow" w:eastAsia="Calibri" w:hAnsi="Arial Narrow" w:cs="Arial"/>
                <w:color w:val="000000"/>
                <w:sz w:val="8"/>
                <w:szCs w:val="8"/>
              </w:rPr>
            </w:pPr>
          </w:p>
        </w:tc>
        <w:tc>
          <w:tcPr>
            <w:tcW w:w="1428" w:type="dxa"/>
            <w:tcMar>
              <w:top w:w="0" w:type="dxa"/>
              <w:left w:w="70" w:type="dxa"/>
              <w:bottom w:w="0" w:type="dxa"/>
              <w:right w:w="70" w:type="dxa"/>
            </w:tcMar>
          </w:tcPr>
          <w:p w:rsidR="006C51EF" w:rsidRPr="004B1794" w:rsidRDefault="006C51EF" w:rsidP="00BF6BA1">
            <w:pPr>
              <w:spacing w:line="270" w:lineRule="exact"/>
              <w:jc w:val="center"/>
              <w:rPr>
                <w:rFonts w:ascii="Arial Narrow" w:eastAsia="Calibri" w:hAnsi="Arial Narrow" w:cs="Arial"/>
                <w:b/>
                <w:bCs/>
                <w:sz w:val="18"/>
                <w:szCs w:val="18"/>
              </w:rPr>
            </w:pPr>
          </w:p>
        </w:tc>
        <w:tc>
          <w:tcPr>
            <w:tcW w:w="1311" w:type="dxa"/>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bCs/>
                <w:sz w:val="8"/>
                <w:szCs w:val="8"/>
              </w:rPr>
            </w:pPr>
          </w:p>
        </w:tc>
        <w:tc>
          <w:tcPr>
            <w:tcW w:w="1311" w:type="dxa"/>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sz w:val="8"/>
                <w:szCs w:val="8"/>
              </w:rPr>
            </w:pPr>
          </w:p>
        </w:tc>
        <w:tc>
          <w:tcPr>
            <w:tcW w:w="1312" w:type="dxa"/>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sz w:val="8"/>
                <w:szCs w:val="8"/>
              </w:rPr>
            </w:pPr>
          </w:p>
        </w:tc>
      </w:tr>
      <w:tr w:rsidR="006C51EF" w:rsidRPr="004B1794" w:rsidTr="006C51EF">
        <w:trPr>
          <w:trHeight w:val="340"/>
          <w:jc w:val="center"/>
        </w:trPr>
        <w:tc>
          <w:tcPr>
            <w:tcW w:w="3830" w:type="dxa"/>
            <w:tcBorders>
              <w:top w:val="nil"/>
              <w:left w:val="nil"/>
              <w:bottom w:val="single" w:sz="8" w:space="0" w:color="FFFFFF"/>
              <w:right w:val="nil"/>
            </w:tcBorders>
            <w:shd w:val="clear" w:color="auto" w:fill="61B57C"/>
            <w:tcMar>
              <w:top w:w="0" w:type="dxa"/>
              <w:left w:w="70" w:type="dxa"/>
              <w:bottom w:w="0" w:type="dxa"/>
              <w:right w:w="70" w:type="dxa"/>
            </w:tcMar>
            <w:vAlign w:val="center"/>
            <w:hideMark/>
          </w:tcPr>
          <w:p w:rsidR="006C51EF" w:rsidRPr="004B1794" w:rsidRDefault="006C51EF" w:rsidP="0058360E">
            <w:pPr>
              <w:spacing w:line="270" w:lineRule="exact"/>
              <w:rPr>
                <w:rFonts w:ascii="Arial Narrow" w:eastAsia="Calibri" w:hAnsi="Arial Narrow" w:cs="Arial"/>
                <w:b/>
                <w:bCs/>
                <w:color w:val="FFFFFF"/>
                <w:sz w:val="18"/>
                <w:szCs w:val="18"/>
              </w:rPr>
            </w:pPr>
            <w:r>
              <w:rPr>
                <w:rFonts w:ascii="Arial Narrow" w:hAnsi="Arial Narrow" w:cs="Arial"/>
                <w:color w:val="FFFFFF"/>
                <w:sz w:val="18"/>
                <w:szCs w:val="18"/>
              </w:rPr>
              <w:t xml:space="preserve">    </w:t>
            </w:r>
            <w:r>
              <w:rPr>
                <w:rFonts w:ascii="Arial Narrow" w:hAnsi="Arial Narrow" w:cs="Arial"/>
                <w:i/>
                <w:iCs/>
                <w:color w:val="FFFFFF"/>
                <w:sz w:val="18"/>
                <w:szCs w:val="18"/>
              </w:rPr>
              <w:t>Ključni racio (u %)</w:t>
            </w:r>
          </w:p>
        </w:tc>
        <w:tc>
          <w:tcPr>
            <w:tcW w:w="1428" w:type="dxa"/>
            <w:tcBorders>
              <w:top w:val="nil"/>
              <w:left w:val="nil"/>
              <w:bottom w:val="single" w:sz="8" w:space="0" w:color="FFFFFF"/>
              <w:right w:val="nil"/>
            </w:tcBorders>
            <w:shd w:val="clear" w:color="auto" w:fill="61B57C"/>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bCs/>
                <w:color w:val="FFFFFF"/>
                <w:sz w:val="18"/>
                <w:szCs w:val="18"/>
              </w:rPr>
            </w:pPr>
            <w:r>
              <w:rPr>
                <w:rFonts w:ascii="Arial Narrow" w:eastAsia="Calibri" w:hAnsi="Arial Narrow" w:cs="Arial"/>
                <w:b/>
                <w:bCs/>
                <w:color w:val="FFFFFF"/>
                <w:sz w:val="18"/>
                <w:szCs w:val="18"/>
              </w:rPr>
              <w:t>2014.*</w:t>
            </w:r>
          </w:p>
        </w:tc>
        <w:tc>
          <w:tcPr>
            <w:tcW w:w="1311" w:type="dxa"/>
            <w:tcBorders>
              <w:top w:val="nil"/>
              <w:left w:val="nil"/>
              <w:bottom w:val="single" w:sz="8" w:space="0" w:color="FFFFFF"/>
              <w:right w:val="nil"/>
            </w:tcBorders>
            <w:shd w:val="clear" w:color="auto" w:fill="61B57C"/>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bCs/>
                <w:color w:val="FFFFFF"/>
                <w:sz w:val="18"/>
                <w:szCs w:val="18"/>
              </w:rPr>
            </w:pPr>
            <w:r>
              <w:rPr>
                <w:rFonts w:ascii="Arial Narrow" w:eastAsia="Calibri" w:hAnsi="Arial Narrow" w:cs="Arial"/>
                <w:b/>
                <w:bCs/>
                <w:color w:val="FFFFFF"/>
                <w:sz w:val="18"/>
                <w:szCs w:val="18"/>
              </w:rPr>
              <w:t>2015</w:t>
            </w:r>
          </w:p>
        </w:tc>
        <w:tc>
          <w:tcPr>
            <w:tcW w:w="1311" w:type="dxa"/>
            <w:tcBorders>
              <w:top w:val="nil"/>
              <w:left w:val="nil"/>
              <w:bottom w:val="single" w:sz="8" w:space="0" w:color="FFFFFF"/>
              <w:right w:val="nil"/>
            </w:tcBorders>
            <w:shd w:val="clear" w:color="auto" w:fill="61B57C"/>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bCs/>
                <w:color w:val="FFFFFF"/>
                <w:sz w:val="18"/>
                <w:szCs w:val="18"/>
              </w:rPr>
            </w:pPr>
          </w:p>
        </w:tc>
        <w:tc>
          <w:tcPr>
            <w:tcW w:w="1312" w:type="dxa"/>
            <w:tcBorders>
              <w:top w:val="nil"/>
              <w:left w:val="nil"/>
              <w:bottom w:val="single" w:sz="8" w:space="0" w:color="FFFFFF"/>
              <w:right w:val="nil"/>
            </w:tcBorders>
            <w:shd w:val="clear" w:color="auto" w:fill="61B57C"/>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bCs/>
                <w:color w:val="FFFFFF"/>
                <w:sz w:val="18"/>
                <w:szCs w:val="18"/>
              </w:rPr>
            </w:pPr>
          </w:p>
        </w:tc>
      </w:tr>
      <w:tr w:rsidR="006C51EF" w:rsidRPr="004B1794" w:rsidTr="006C51EF">
        <w:trPr>
          <w:trHeight w:val="291"/>
          <w:jc w:val="center"/>
        </w:trPr>
        <w:tc>
          <w:tcPr>
            <w:tcW w:w="3830" w:type="dxa"/>
            <w:tcMar>
              <w:top w:w="0" w:type="dxa"/>
              <w:left w:w="70" w:type="dxa"/>
              <w:bottom w:w="0" w:type="dxa"/>
              <w:right w:w="70" w:type="dxa"/>
            </w:tcMar>
            <w:vAlign w:val="center"/>
            <w:hideMark/>
          </w:tcPr>
          <w:p w:rsidR="006C51EF" w:rsidRPr="0058360E" w:rsidRDefault="006C51EF" w:rsidP="0058360E">
            <w:pPr>
              <w:spacing w:line="270" w:lineRule="exact"/>
              <w:rPr>
                <w:rFonts w:ascii="Arial Narrow" w:eastAsia="Calibri" w:hAnsi="Arial Narrow" w:cs="Arial"/>
                <w:sz w:val="18"/>
                <w:szCs w:val="18"/>
              </w:rPr>
            </w:pPr>
            <w:r>
              <w:rPr>
                <w:rFonts w:ascii="Arial Narrow" w:hAnsi="Arial Narrow" w:cs="Arial"/>
                <w:sz w:val="18"/>
                <w:szCs w:val="18"/>
              </w:rPr>
              <w:t>Racio šteta nakon reosiguranja</w:t>
            </w:r>
          </w:p>
        </w:tc>
        <w:tc>
          <w:tcPr>
            <w:tcW w:w="1428" w:type="dxa"/>
            <w:tcMar>
              <w:top w:w="0" w:type="dxa"/>
              <w:left w:w="70" w:type="dxa"/>
              <w:bottom w:w="0" w:type="dxa"/>
              <w:right w:w="70" w:type="dxa"/>
            </w:tcMar>
            <w:vAlign w:val="center"/>
          </w:tcPr>
          <w:p w:rsidR="006C51EF" w:rsidRPr="00815464" w:rsidRDefault="006C51EF">
            <w:pPr>
              <w:jc w:val="center"/>
              <w:rPr>
                <w:rFonts w:ascii="Arial Narrow" w:hAnsi="Arial Narrow"/>
                <w:sz w:val="18"/>
                <w:szCs w:val="18"/>
              </w:rPr>
            </w:pPr>
            <w:r>
              <w:rPr>
                <w:rFonts w:ascii="Arial Narrow" w:hAnsi="Arial Narrow"/>
                <w:sz w:val="18"/>
                <w:szCs w:val="18"/>
              </w:rPr>
              <w:t>50,4%</w:t>
            </w:r>
          </w:p>
        </w:tc>
        <w:tc>
          <w:tcPr>
            <w:tcW w:w="1311" w:type="dxa"/>
            <w:shd w:val="clear" w:color="auto" w:fill="E0F1E5"/>
            <w:tcMar>
              <w:top w:w="0" w:type="dxa"/>
              <w:left w:w="70" w:type="dxa"/>
              <w:bottom w:w="0" w:type="dxa"/>
              <w:right w:w="70" w:type="dxa"/>
            </w:tcMar>
            <w:vAlign w:val="center"/>
          </w:tcPr>
          <w:p w:rsidR="006C51EF" w:rsidRPr="00815464" w:rsidRDefault="006C51EF">
            <w:pPr>
              <w:jc w:val="center"/>
              <w:rPr>
                <w:rFonts w:ascii="Arial Narrow" w:hAnsi="Arial Narrow"/>
                <w:sz w:val="18"/>
                <w:szCs w:val="18"/>
              </w:rPr>
            </w:pPr>
            <w:r>
              <w:rPr>
                <w:rFonts w:ascii="Arial Narrow" w:hAnsi="Arial Narrow"/>
                <w:sz w:val="18"/>
                <w:szCs w:val="18"/>
              </w:rPr>
              <w:t>52,5%</w:t>
            </w:r>
          </w:p>
        </w:tc>
        <w:tc>
          <w:tcPr>
            <w:tcW w:w="1311" w:type="dxa"/>
            <w:tcMar>
              <w:top w:w="0" w:type="dxa"/>
              <w:left w:w="70" w:type="dxa"/>
              <w:bottom w:w="0" w:type="dxa"/>
              <w:right w:w="70" w:type="dxa"/>
            </w:tcMar>
            <w:vAlign w:val="center"/>
          </w:tcPr>
          <w:p w:rsidR="006C51EF" w:rsidRPr="00815464" w:rsidRDefault="006C51EF">
            <w:pPr>
              <w:jc w:val="right"/>
              <w:rPr>
                <w:rFonts w:ascii="Arial Narrow" w:hAnsi="Arial Narrow"/>
                <w:sz w:val="18"/>
                <w:szCs w:val="18"/>
              </w:rPr>
            </w:pPr>
            <w:r>
              <w:rPr>
                <w:rFonts w:ascii="Arial Narrow" w:hAnsi="Arial Narrow"/>
                <w:sz w:val="18"/>
                <w:szCs w:val="18"/>
              </w:rPr>
              <w:t>+2,2</w:t>
            </w:r>
          </w:p>
        </w:tc>
        <w:tc>
          <w:tcPr>
            <w:tcW w:w="1312" w:type="dxa"/>
            <w:tcMar>
              <w:top w:w="0" w:type="dxa"/>
              <w:left w:w="70" w:type="dxa"/>
              <w:bottom w:w="0" w:type="dxa"/>
              <w:right w:w="70" w:type="dxa"/>
            </w:tcMar>
            <w:vAlign w:val="center"/>
          </w:tcPr>
          <w:p w:rsidR="006C51EF" w:rsidRPr="00815464" w:rsidRDefault="006C51EF">
            <w:pPr>
              <w:rPr>
                <w:rFonts w:ascii="Arial Narrow" w:hAnsi="Arial Narrow"/>
                <w:sz w:val="18"/>
                <w:szCs w:val="18"/>
              </w:rPr>
            </w:pPr>
            <w:r>
              <w:rPr>
                <w:rFonts w:ascii="Arial Narrow" w:hAnsi="Arial Narrow"/>
                <w:sz w:val="18"/>
                <w:szCs w:val="18"/>
              </w:rPr>
              <w:t>procentualnih poena</w:t>
            </w:r>
          </w:p>
        </w:tc>
      </w:tr>
      <w:tr w:rsidR="006C51EF" w:rsidRPr="004B1794" w:rsidTr="006C51EF">
        <w:trPr>
          <w:trHeight w:val="291"/>
          <w:jc w:val="center"/>
        </w:trPr>
        <w:tc>
          <w:tcPr>
            <w:tcW w:w="3830" w:type="dxa"/>
            <w:tcMar>
              <w:top w:w="0" w:type="dxa"/>
              <w:left w:w="70" w:type="dxa"/>
              <w:bottom w:w="0" w:type="dxa"/>
              <w:right w:w="70" w:type="dxa"/>
            </w:tcMar>
            <w:hideMark/>
          </w:tcPr>
          <w:p w:rsidR="006C51EF" w:rsidRPr="0058360E" w:rsidRDefault="006C51EF" w:rsidP="00BF6BA1">
            <w:pPr>
              <w:spacing w:line="270" w:lineRule="exact"/>
              <w:rPr>
                <w:rFonts w:ascii="Arial Narrow" w:eastAsia="Calibri" w:hAnsi="Arial Narrow" w:cs="Arial"/>
                <w:sz w:val="18"/>
                <w:szCs w:val="18"/>
              </w:rPr>
            </w:pPr>
            <w:r>
              <w:rPr>
                <w:rFonts w:ascii="Arial Narrow" w:hAnsi="Arial Narrow" w:cs="Arial"/>
                <w:sz w:val="18"/>
                <w:szCs w:val="18"/>
              </w:rPr>
              <w:t>Racio troškova nakon reosiguranja</w:t>
            </w:r>
          </w:p>
        </w:tc>
        <w:tc>
          <w:tcPr>
            <w:tcW w:w="1428" w:type="dxa"/>
            <w:tcMar>
              <w:top w:w="0" w:type="dxa"/>
              <w:left w:w="70" w:type="dxa"/>
              <w:bottom w:w="0" w:type="dxa"/>
              <w:right w:w="70" w:type="dxa"/>
            </w:tcMar>
            <w:vAlign w:val="center"/>
          </w:tcPr>
          <w:p w:rsidR="006C51EF" w:rsidRPr="00815464" w:rsidRDefault="006C51EF">
            <w:pPr>
              <w:jc w:val="center"/>
              <w:rPr>
                <w:rFonts w:ascii="Arial Narrow" w:hAnsi="Arial Narrow"/>
                <w:sz w:val="18"/>
                <w:szCs w:val="18"/>
              </w:rPr>
            </w:pPr>
            <w:r>
              <w:rPr>
                <w:rFonts w:ascii="Arial Narrow" w:hAnsi="Arial Narrow"/>
                <w:sz w:val="18"/>
                <w:szCs w:val="18"/>
              </w:rPr>
              <w:t>29,3%</w:t>
            </w:r>
          </w:p>
        </w:tc>
        <w:tc>
          <w:tcPr>
            <w:tcW w:w="1311" w:type="dxa"/>
            <w:shd w:val="clear" w:color="auto" w:fill="E0F1E5"/>
            <w:tcMar>
              <w:top w:w="0" w:type="dxa"/>
              <w:left w:w="70" w:type="dxa"/>
              <w:bottom w:w="0" w:type="dxa"/>
              <w:right w:w="70" w:type="dxa"/>
            </w:tcMar>
            <w:vAlign w:val="center"/>
          </w:tcPr>
          <w:p w:rsidR="006C51EF" w:rsidRPr="00815464" w:rsidRDefault="006C51EF">
            <w:pPr>
              <w:jc w:val="center"/>
              <w:rPr>
                <w:rFonts w:ascii="Arial Narrow" w:hAnsi="Arial Narrow"/>
                <w:sz w:val="18"/>
                <w:szCs w:val="18"/>
              </w:rPr>
            </w:pPr>
            <w:r>
              <w:rPr>
                <w:rFonts w:ascii="Arial Narrow" w:hAnsi="Arial Narrow"/>
                <w:sz w:val="18"/>
                <w:szCs w:val="18"/>
              </w:rPr>
              <w:t>30,5%</w:t>
            </w:r>
          </w:p>
        </w:tc>
        <w:tc>
          <w:tcPr>
            <w:tcW w:w="1311" w:type="dxa"/>
            <w:tcMar>
              <w:top w:w="0" w:type="dxa"/>
              <w:left w:w="70" w:type="dxa"/>
              <w:bottom w:w="0" w:type="dxa"/>
              <w:right w:w="70" w:type="dxa"/>
            </w:tcMar>
            <w:vAlign w:val="center"/>
          </w:tcPr>
          <w:p w:rsidR="006C51EF" w:rsidRPr="00815464" w:rsidRDefault="006C51EF">
            <w:pPr>
              <w:jc w:val="right"/>
              <w:rPr>
                <w:rFonts w:ascii="Arial Narrow" w:hAnsi="Arial Narrow"/>
                <w:sz w:val="18"/>
                <w:szCs w:val="18"/>
              </w:rPr>
            </w:pPr>
            <w:r>
              <w:rPr>
                <w:rFonts w:ascii="Arial Narrow" w:hAnsi="Arial Narrow"/>
                <w:sz w:val="18"/>
                <w:szCs w:val="18"/>
              </w:rPr>
              <w:t>+1,2</w:t>
            </w:r>
          </w:p>
        </w:tc>
        <w:tc>
          <w:tcPr>
            <w:tcW w:w="1312" w:type="dxa"/>
            <w:tcMar>
              <w:top w:w="0" w:type="dxa"/>
              <w:left w:w="70" w:type="dxa"/>
              <w:bottom w:w="0" w:type="dxa"/>
              <w:right w:w="70" w:type="dxa"/>
            </w:tcMar>
            <w:vAlign w:val="center"/>
          </w:tcPr>
          <w:p w:rsidR="006C51EF" w:rsidRPr="00815464" w:rsidRDefault="006C51EF">
            <w:pPr>
              <w:rPr>
                <w:rFonts w:ascii="Arial Narrow" w:hAnsi="Arial Narrow"/>
                <w:sz w:val="18"/>
                <w:szCs w:val="18"/>
              </w:rPr>
            </w:pPr>
            <w:r>
              <w:rPr>
                <w:rFonts w:ascii="Arial Narrow" w:hAnsi="Arial Narrow"/>
                <w:sz w:val="18"/>
                <w:szCs w:val="18"/>
              </w:rPr>
              <w:t>procentualnih poena</w:t>
            </w:r>
          </w:p>
        </w:tc>
      </w:tr>
      <w:tr w:rsidR="006C51EF" w:rsidRPr="004B1794" w:rsidTr="006C51EF">
        <w:trPr>
          <w:trHeight w:val="264"/>
          <w:jc w:val="center"/>
        </w:trPr>
        <w:tc>
          <w:tcPr>
            <w:tcW w:w="3830" w:type="dxa"/>
            <w:tcMar>
              <w:top w:w="0" w:type="dxa"/>
              <w:left w:w="70" w:type="dxa"/>
              <w:bottom w:w="0" w:type="dxa"/>
              <w:right w:w="70" w:type="dxa"/>
            </w:tcMar>
            <w:hideMark/>
          </w:tcPr>
          <w:p w:rsidR="006C51EF" w:rsidRPr="0058360E" w:rsidRDefault="006C51EF" w:rsidP="00BF6BA1">
            <w:pPr>
              <w:spacing w:line="270" w:lineRule="exact"/>
              <w:rPr>
                <w:rFonts w:ascii="Arial Narrow" w:eastAsia="Calibri" w:hAnsi="Arial Narrow" w:cs="Arial"/>
                <w:b/>
                <w:sz w:val="18"/>
                <w:szCs w:val="18"/>
              </w:rPr>
            </w:pPr>
            <w:r>
              <w:rPr>
                <w:rFonts w:ascii="Arial Narrow" w:hAnsi="Arial Narrow" w:cs="Arial"/>
                <w:b/>
                <w:bCs/>
                <w:sz w:val="18"/>
                <w:szCs w:val="18"/>
              </w:rPr>
              <w:t>Kombinovani racio nakon reosiguranja</w:t>
            </w:r>
          </w:p>
        </w:tc>
        <w:tc>
          <w:tcPr>
            <w:tcW w:w="1428" w:type="dxa"/>
            <w:tcMar>
              <w:top w:w="0" w:type="dxa"/>
              <w:left w:w="70" w:type="dxa"/>
              <w:bottom w:w="0" w:type="dxa"/>
              <w:right w:w="70" w:type="dxa"/>
            </w:tcMar>
            <w:vAlign w:val="center"/>
          </w:tcPr>
          <w:p w:rsidR="006C51EF" w:rsidRPr="003009BD" w:rsidRDefault="006C51EF" w:rsidP="00580FD4">
            <w:pPr>
              <w:jc w:val="center"/>
              <w:rPr>
                <w:rFonts w:ascii="Arial Narrow" w:hAnsi="Arial Narrow"/>
                <w:b/>
                <w:sz w:val="18"/>
                <w:szCs w:val="18"/>
              </w:rPr>
            </w:pPr>
            <w:r>
              <w:rPr>
                <w:rFonts w:ascii="Arial Narrow" w:hAnsi="Arial Narrow"/>
                <w:b/>
                <w:bCs/>
                <w:sz w:val="18"/>
                <w:szCs w:val="18"/>
              </w:rPr>
              <w:t>79,7%</w:t>
            </w:r>
          </w:p>
        </w:tc>
        <w:tc>
          <w:tcPr>
            <w:tcW w:w="1311" w:type="dxa"/>
            <w:shd w:val="clear" w:color="auto" w:fill="E0F1E5"/>
            <w:tcMar>
              <w:top w:w="0" w:type="dxa"/>
              <w:left w:w="70" w:type="dxa"/>
              <w:bottom w:w="0" w:type="dxa"/>
              <w:right w:w="70" w:type="dxa"/>
            </w:tcMar>
            <w:vAlign w:val="center"/>
          </w:tcPr>
          <w:p w:rsidR="006C51EF" w:rsidRPr="003009BD" w:rsidRDefault="006C51EF" w:rsidP="00580FD4">
            <w:pPr>
              <w:jc w:val="center"/>
              <w:rPr>
                <w:rFonts w:ascii="Arial Narrow" w:hAnsi="Arial Narrow"/>
                <w:b/>
                <w:bCs/>
                <w:sz w:val="18"/>
                <w:szCs w:val="18"/>
              </w:rPr>
            </w:pPr>
            <w:r>
              <w:rPr>
                <w:rFonts w:ascii="Arial Narrow" w:hAnsi="Arial Narrow"/>
                <w:b/>
                <w:bCs/>
                <w:sz w:val="18"/>
                <w:szCs w:val="18"/>
              </w:rPr>
              <w:t>83,1%</w:t>
            </w:r>
          </w:p>
        </w:tc>
        <w:tc>
          <w:tcPr>
            <w:tcW w:w="1311" w:type="dxa"/>
            <w:tcMar>
              <w:top w:w="0" w:type="dxa"/>
              <w:left w:w="70" w:type="dxa"/>
              <w:bottom w:w="0" w:type="dxa"/>
              <w:right w:w="70" w:type="dxa"/>
            </w:tcMar>
            <w:vAlign w:val="center"/>
          </w:tcPr>
          <w:p w:rsidR="006C51EF" w:rsidRPr="003009BD" w:rsidRDefault="006C51EF">
            <w:pPr>
              <w:jc w:val="right"/>
              <w:rPr>
                <w:rFonts w:ascii="Arial Narrow" w:hAnsi="Arial Narrow"/>
                <w:b/>
                <w:bCs/>
                <w:sz w:val="18"/>
                <w:szCs w:val="18"/>
              </w:rPr>
            </w:pPr>
            <w:r>
              <w:rPr>
                <w:rFonts w:ascii="Arial Narrow" w:hAnsi="Arial Narrow"/>
                <w:b/>
                <w:bCs/>
                <w:sz w:val="18"/>
                <w:szCs w:val="18"/>
              </w:rPr>
              <w:t>+3,4</w:t>
            </w:r>
          </w:p>
        </w:tc>
        <w:tc>
          <w:tcPr>
            <w:tcW w:w="1312" w:type="dxa"/>
            <w:tcMar>
              <w:top w:w="0" w:type="dxa"/>
              <w:left w:w="70" w:type="dxa"/>
              <w:bottom w:w="0" w:type="dxa"/>
              <w:right w:w="70" w:type="dxa"/>
            </w:tcMar>
            <w:vAlign w:val="center"/>
          </w:tcPr>
          <w:p w:rsidR="006C51EF" w:rsidRPr="003009BD" w:rsidRDefault="006C51EF">
            <w:pPr>
              <w:rPr>
                <w:rFonts w:ascii="Arial Narrow" w:hAnsi="Arial Narrow"/>
                <w:b/>
                <w:bCs/>
                <w:sz w:val="18"/>
                <w:szCs w:val="18"/>
              </w:rPr>
            </w:pPr>
            <w:r>
              <w:rPr>
                <w:rFonts w:ascii="Arial Narrow" w:hAnsi="Arial Narrow"/>
                <w:b/>
                <w:bCs/>
                <w:sz w:val="18"/>
                <w:szCs w:val="18"/>
              </w:rPr>
              <w:t>procentualnih poena</w:t>
            </w:r>
          </w:p>
        </w:tc>
      </w:tr>
      <w:tr w:rsidR="006C51EF" w:rsidRPr="004B1794" w:rsidTr="006C51EF">
        <w:trPr>
          <w:trHeight w:val="65"/>
          <w:jc w:val="center"/>
        </w:trPr>
        <w:tc>
          <w:tcPr>
            <w:tcW w:w="3830" w:type="dxa"/>
            <w:tcMar>
              <w:top w:w="0" w:type="dxa"/>
              <w:left w:w="70" w:type="dxa"/>
              <w:bottom w:w="0" w:type="dxa"/>
              <w:right w:w="70" w:type="dxa"/>
            </w:tcMar>
            <w:vAlign w:val="center"/>
          </w:tcPr>
          <w:p w:rsidR="006C51EF" w:rsidRPr="004B1794" w:rsidRDefault="006C51EF" w:rsidP="00BF6BA1">
            <w:pPr>
              <w:spacing w:line="270" w:lineRule="exact"/>
              <w:rPr>
                <w:rFonts w:ascii="Arial Narrow" w:eastAsia="Calibri" w:hAnsi="Arial Narrow" w:cs="Arial"/>
                <w:color w:val="03365F"/>
                <w:sz w:val="8"/>
                <w:szCs w:val="8"/>
              </w:rPr>
            </w:pPr>
          </w:p>
        </w:tc>
        <w:tc>
          <w:tcPr>
            <w:tcW w:w="1428" w:type="dxa"/>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bCs/>
                <w:color w:val="03365F"/>
                <w:sz w:val="8"/>
                <w:szCs w:val="8"/>
              </w:rPr>
            </w:pPr>
          </w:p>
        </w:tc>
        <w:tc>
          <w:tcPr>
            <w:tcW w:w="1311" w:type="dxa"/>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bCs/>
                <w:color w:val="03365F"/>
                <w:sz w:val="8"/>
                <w:szCs w:val="8"/>
              </w:rPr>
            </w:pPr>
          </w:p>
        </w:tc>
        <w:tc>
          <w:tcPr>
            <w:tcW w:w="1311" w:type="dxa"/>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color w:val="03365F"/>
                <w:sz w:val="8"/>
                <w:szCs w:val="8"/>
              </w:rPr>
            </w:pPr>
          </w:p>
        </w:tc>
        <w:tc>
          <w:tcPr>
            <w:tcW w:w="1312" w:type="dxa"/>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color w:val="03365F"/>
                <w:sz w:val="8"/>
                <w:szCs w:val="8"/>
              </w:rPr>
            </w:pPr>
          </w:p>
        </w:tc>
      </w:tr>
      <w:tr w:rsidR="006C51EF" w:rsidRPr="004B1794" w:rsidTr="006C51EF">
        <w:trPr>
          <w:trHeight w:val="404"/>
          <w:jc w:val="center"/>
        </w:trPr>
        <w:tc>
          <w:tcPr>
            <w:tcW w:w="3830" w:type="dxa"/>
            <w:tcBorders>
              <w:top w:val="nil"/>
              <w:left w:val="nil"/>
              <w:bottom w:val="single" w:sz="8" w:space="0" w:color="FFFFFF"/>
              <w:right w:val="nil"/>
            </w:tcBorders>
            <w:shd w:val="clear" w:color="auto" w:fill="03365F"/>
            <w:tcMar>
              <w:top w:w="0" w:type="dxa"/>
              <w:left w:w="70" w:type="dxa"/>
              <w:bottom w:w="0" w:type="dxa"/>
              <w:right w:w="70" w:type="dxa"/>
            </w:tcMar>
            <w:vAlign w:val="center"/>
            <w:hideMark/>
          </w:tcPr>
          <w:p w:rsidR="006C51EF" w:rsidRPr="0058360E" w:rsidRDefault="006C51EF" w:rsidP="0058360E">
            <w:pPr>
              <w:spacing w:line="270" w:lineRule="exact"/>
              <w:rPr>
                <w:rFonts w:ascii="Arial Narrow" w:eastAsia="Calibri" w:hAnsi="Arial Narrow" w:cs="Arial"/>
                <w:i/>
                <w:iCs/>
                <w:color w:val="FFFFFF"/>
                <w:sz w:val="18"/>
                <w:szCs w:val="18"/>
              </w:rPr>
            </w:pPr>
            <w:r>
              <w:rPr>
                <w:rFonts w:ascii="Arial Narrow" w:hAnsi="Arial Narrow" w:cs="Arial"/>
                <w:color w:val="FFFFFF"/>
                <w:sz w:val="18"/>
                <w:szCs w:val="18"/>
              </w:rPr>
              <w:t xml:space="preserve">    </w:t>
            </w:r>
            <w:r>
              <w:rPr>
                <w:rFonts w:ascii="Arial Narrow" w:hAnsi="Arial Narrow" w:cs="Arial"/>
                <w:i/>
                <w:iCs/>
                <w:color w:val="FFFFFF"/>
                <w:sz w:val="18"/>
                <w:szCs w:val="18"/>
              </w:rPr>
              <w:t>Stavke iz bilansa stanja u milionima evra</w:t>
            </w:r>
          </w:p>
        </w:tc>
        <w:tc>
          <w:tcPr>
            <w:tcW w:w="1428" w:type="dxa"/>
            <w:tcBorders>
              <w:top w:val="nil"/>
              <w:left w:val="nil"/>
              <w:bottom w:val="single" w:sz="8" w:space="0" w:color="FFFFFF"/>
              <w:right w:val="nil"/>
            </w:tcBorders>
            <w:shd w:val="clear" w:color="auto" w:fill="03365F"/>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bCs/>
                <w:color w:val="FFFFFF"/>
                <w:sz w:val="18"/>
                <w:szCs w:val="18"/>
              </w:rPr>
            </w:pPr>
            <w:r>
              <w:rPr>
                <w:rFonts w:ascii="Arial Narrow" w:eastAsia="Calibri" w:hAnsi="Arial Narrow" w:cs="Arial"/>
                <w:b/>
                <w:bCs/>
                <w:color w:val="FFFFFF"/>
                <w:sz w:val="18"/>
                <w:szCs w:val="18"/>
              </w:rPr>
              <w:t>31.12.2014.*</w:t>
            </w:r>
          </w:p>
        </w:tc>
        <w:tc>
          <w:tcPr>
            <w:tcW w:w="1311" w:type="dxa"/>
            <w:tcBorders>
              <w:top w:val="nil"/>
              <w:left w:val="nil"/>
              <w:bottom w:val="single" w:sz="8" w:space="0" w:color="FFFFFF"/>
              <w:right w:val="nil"/>
            </w:tcBorders>
            <w:shd w:val="clear" w:color="auto" w:fill="03365F"/>
            <w:tcMar>
              <w:top w:w="0" w:type="dxa"/>
              <w:left w:w="70" w:type="dxa"/>
              <w:bottom w:w="0" w:type="dxa"/>
              <w:right w:w="70" w:type="dxa"/>
            </w:tcMar>
            <w:vAlign w:val="center"/>
          </w:tcPr>
          <w:p w:rsidR="006C51EF" w:rsidRPr="004B1794" w:rsidRDefault="006C51EF" w:rsidP="002D41F0">
            <w:pPr>
              <w:spacing w:line="270" w:lineRule="exact"/>
              <w:jc w:val="center"/>
              <w:rPr>
                <w:rFonts w:ascii="Arial Narrow" w:eastAsia="Calibri" w:hAnsi="Arial Narrow" w:cs="Arial"/>
                <w:b/>
                <w:bCs/>
                <w:color w:val="FFFFFF"/>
                <w:sz w:val="18"/>
                <w:szCs w:val="18"/>
              </w:rPr>
            </w:pPr>
            <w:r>
              <w:rPr>
                <w:rFonts w:ascii="Arial Narrow" w:eastAsia="Calibri" w:hAnsi="Arial Narrow" w:cs="Arial"/>
                <w:b/>
                <w:bCs/>
                <w:color w:val="FFFFFF"/>
                <w:sz w:val="18"/>
                <w:szCs w:val="18"/>
              </w:rPr>
              <w:t>31.12.2015.</w:t>
            </w:r>
          </w:p>
        </w:tc>
        <w:tc>
          <w:tcPr>
            <w:tcW w:w="1311" w:type="dxa"/>
            <w:tcBorders>
              <w:top w:val="nil"/>
              <w:left w:val="nil"/>
              <w:bottom w:val="single" w:sz="8" w:space="0" w:color="FFFFFF"/>
              <w:right w:val="nil"/>
            </w:tcBorders>
            <w:shd w:val="clear" w:color="auto" w:fill="03365F"/>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bCs/>
                <w:color w:val="FFFFFF"/>
                <w:sz w:val="18"/>
                <w:szCs w:val="18"/>
              </w:rPr>
            </w:pPr>
          </w:p>
        </w:tc>
        <w:tc>
          <w:tcPr>
            <w:tcW w:w="1312" w:type="dxa"/>
            <w:tcBorders>
              <w:top w:val="nil"/>
              <w:left w:val="nil"/>
              <w:bottom w:val="single" w:sz="8" w:space="0" w:color="FFFFFF"/>
              <w:right w:val="nil"/>
            </w:tcBorders>
            <w:shd w:val="clear" w:color="auto" w:fill="03365F"/>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bCs/>
                <w:color w:val="FFFFFF"/>
                <w:sz w:val="18"/>
                <w:szCs w:val="18"/>
              </w:rPr>
            </w:pPr>
          </w:p>
        </w:tc>
      </w:tr>
      <w:tr w:rsidR="006C51EF" w:rsidRPr="004B1794" w:rsidTr="006C51EF">
        <w:trPr>
          <w:trHeight w:val="278"/>
          <w:jc w:val="center"/>
        </w:trPr>
        <w:tc>
          <w:tcPr>
            <w:tcW w:w="3830" w:type="dxa"/>
            <w:tcMar>
              <w:top w:w="0" w:type="dxa"/>
              <w:left w:w="70" w:type="dxa"/>
              <w:bottom w:w="0" w:type="dxa"/>
              <w:right w:w="70" w:type="dxa"/>
            </w:tcMar>
            <w:vAlign w:val="center"/>
            <w:hideMark/>
          </w:tcPr>
          <w:p w:rsidR="006C51EF" w:rsidRPr="004B1794" w:rsidRDefault="006C51EF" w:rsidP="00F4640A">
            <w:pPr>
              <w:spacing w:line="270" w:lineRule="exact"/>
              <w:rPr>
                <w:rFonts w:ascii="Arial Narrow" w:eastAsia="Calibri" w:hAnsi="Arial Narrow" w:cs="Arial"/>
                <w:b/>
                <w:color w:val="000000"/>
                <w:sz w:val="18"/>
                <w:szCs w:val="18"/>
              </w:rPr>
            </w:pPr>
            <w:r>
              <w:rPr>
                <w:rFonts w:ascii="Arial Narrow" w:hAnsi="Arial Narrow" w:cs="Arial"/>
                <w:b/>
                <w:bCs/>
                <w:color w:val="000000"/>
                <w:sz w:val="18"/>
                <w:szCs w:val="18"/>
              </w:rPr>
              <w:t>Ukupni kapital</w:t>
            </w:r>
          </w:p>
        </w:tc>
        <w:tc>
          <w:tcPr>
            <w:tcW w:w="1428" w:type="dxa"/>
            <w:tcMar>
              <w:top w:w="0" w:type="dxa"/>
              <w:left w:w="70" w:type="dxa"/>
              <w:bottom w:w="0" w:type="dxa"/>
              <w:right w:w="70" w:type="dxa"/>
            </w:tcMar>
            <w:vAlign w:val="center"/>
          </w:tcPr>
          <w:p w:rsidR="006C51EF" w:rsidRPr="00815464" w:rsidRDefault="006C51EF" w:rsidP="00F45A18">
            <w:pPr>
              <w:jc w:val="center"/>
              <w:rPr>
                <w:rFonts w:ascii="Arial Narrow" w:hAnsi="Arial Narrow"/>
                <w:sz w:val="18"/>
                <w:szCs w:val="18"/>
              </w:rPr>
            </w:pPr>
            <w:r>
              <w:rPr>
                <w:rFonts w:ascii="Arial Narrow" w:hAnsi="Arial Narrow"/>
                <w:sz w:val="18"/>
                <w:szCs w:val="18"/>
              </w:rPr>
              <w:t>1.724,5</w:t>
            </w:r>
          </w:p>
        </w:tc>
        <w:tc>
          <w:tcPr>
            <w:tcW w:w="1311" w:type="dxa"/>
            <w:shd w:val="clear" w:color="auto" w:fill="CCD1DD"/>
            <w:tcMar>
              <w:top w:w="0" w:type="dxa"/>
              <w:left w:w="70" w:type="dxa"/>
              <w:bottom w:w="0" w:type="dxa"/>
              <w:right w:w="70" w:type="dxa"/>
            </w:tcMar>
            <w:vAlign w:val="center"/>
          </w:tcPr>
          <w:p w:rsidR="006C51EF" w:rsidRPr="00815464" w:rsidRDefault="006C51EF" w:rsidP="00F45A18">
            <w:pPr>
              <w:jc w:val="center"/>
              <w:rPr>
                <w:rFonts w:ascii="Arial Narrow" w:hAnsi="Arial Narrow"/>
                <w:sz w:val="18"/>
                <w:szCs w:val="18"/>
              </w:rPr>
            </w:pPr>
            <w:r>
              <w:rPr>
                <w:rFonts w:ascii="Arial Narrow" w:hAnsi="Arial Narrow"/>
                <w:sz w:val="18"/>
                <w:szCs w:val="18"/>
              </w:rPr>
              <w:t>1.767,0</w:t>
            </w:r>
          </w:p>
        </w:tc>
        <w:tc>
          <w:tcPr>
            <w:tcW w:w="1311" w:type="dxa"/>
            <w:tcMar>
              <w:top w:w="0" w:type="dxa"/>
              <w:left w:w="70" w:type="dxa"/>
              <w:bottom w:w="0" w:type="dxa"/>
              <w:right w:w="70" w:type="dxa"/>
            </w:tcMar>
            <w:vAlign w:val="center"/>
          </w:tcPr>
          <w:p w:rsidR="006C51EF" w:rsidRPr="004B1794" w:rsidRDefault="006C51EF" w:rsidP="000E20D2">
            <w:pPr>
              <w:spacing w:line="270" w:lineRule="exact"/>
              <w:jc w:val="center"/>
              <w:rPr>
                <w:rFonts w:ascii="Arial Narrow" w:eastAsia="Calibri" w:hAnsi="Arial Narrow" w:cs="Arial"/>
                <w:b/>
                <w:color w:val="000000"/>
                <w:sz w:val="18"/>
                <w:szCs w:val="18"/>
              </w:rPr>
            </w:pPr>
          </w:p>
        </w:tc>
        <w:tc>
          <w:tcPr>
            <w:tcW w:w="1312" w:type="dxa"/>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color w:val="000000"/>
                <w:sz w:val="18"/>
                <w:szCs w:val="18"/>
              </w:rPr>
            </w:pPr>
          </w:p>
        </w:tc>
      </w:tr>
      <w:tr w:rsidR="006C51EF" w:rsidRPr="004B1794" w:rsidTr="006C51EF">
        <w:trPr>
          <w:trHeight w:val="80"/>
          <w:jc w:val="center"/>
        </w:trPr>
        <w:tc>
          <w:tcPr>
            <w:tcW w:w="3830" w:type="dxa"/>
            <w:tcBorders>
              <w:top w:val="nil"/>
              <w:left w:val="nil"/>
              <w:bottom w:val="single" w:sz="8" w:space="0" w:color="03365F"/>
              <w:right w:val="nil"/>
            </w:tcBorders>
            <w:tcMar>
              <w:top w:w="0" w:type="dxa"/>
              <w:left w:w="70" w:type="dxa"/>
              <w:bottom w:w="0" w:type="dxa"/>
              <w:right w:w="70" w:type="dxa"/>
            </w:tcMar>
            <w:vAlign w:val="center"/>
          </w:tcPr>
          <w:p w:rsidR="006C51EF" w:rsidRPr="004B1794" w:rsidRDefault="006C51EF" w:rsidP="00BF6BA1">
            <w:pPr>
              <w:spacing w:line="270" w:lineRule="exact"/>
              <w:rPr>
                <w:rFonts w:ascii="Arial Narrow" w:eastAsia="Calibri" w:hAnsi="Arial Narrow" w:cs="Arial"/>
                <w:i/>
                <w:iCs/>
                <w:color w:val="000000"/>
                <w:sz w:val="8"/>
                <w:szCs w:val="8"/>
              </w:rPr>
            </w:pPr>
          </w:p>
        </w:tc>
        <w:tc>
          <w:tcPr>
            <w:tcW w:w="1428" w:type="dxa"/>
            <w:tcBorders>
              <w:top w:val="nil"/>
              <w:left w:val="nil"/>
              <w:bottom w:val="single" w:sz="8" w:space="0" w:color="03365F"/>
              <w:right w:val="nil"/>
            </w:tcBorders>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bCs/>
                <w:i/>
                <w:iCs/>
                <w:color w:val="000000"/>
                <w:sz w:val="8"/>
                <w:szCs w:val="8"/>
              </w:rPr>
            </w:pPr>
          </w:p>
        </w:tc>
        <w:tc>
          <w:tcPr>
            <w:tcW w:w="1311" w:type="dxa"/>
            <w:tcBorders>
              <w:top w:val="nil"/>
              <w:left w:val="nil"/>
              <w:bottom w:val="single" w:sz="8" w:space="0" w:color="03365F"/>
              <w:right w:val="nil"/>
            </w:tcBorders>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b/>
                <w:bCs/>
                <w:i/>
                <w:iCs/>
                <w:color w:val="000000"/>
                <w:sz w:val="8"/>
                <w:szCs w:val="8"/>
              </w:rPr>
            </w:pPr>
          </w:p>
        </w:tc>
        <w:tc>
          <w:tcPr>
            <w:tcW w:w="1311" w:type="dxa"/>
            <w:tcBorders>
              <w:top w:val="nil"/>
              <w:left w:val="nil"/>
              <w:bottom w:val="single" w:sz="8" w:space="0" w:color="03365F"/>
              <w:right w:val="nil"/>
            </w:tcBorders>
            <w:tcMar>
              <w:top w:w="0" w:type="dxa"/>
              <w:left w:w="70" w:type="dxa"/>
              <w:bottom w:w="0" w:type="dxa"/>
              <w:right w:w="70" w:type="dxa"/>
            </w:tcMar>
            <w:vAlign w:val="center"/>
          </w:tcPr>
          <w:p w:rsidR="006C51EF" w:rsidRPr="004B1794" w:rsidRDefault="006C51EF" w:rsidP="00BF6BA1">
            <w:pPr>
              <w:spacing w:line="270" w:lineRule="exact"/>
              <w:jc w:val="center"/>
              <w:rPr>
                <w:rFonts w:ascii="Arial Narrow" w:eastAsia="Calibri" w:hAnsi="Arial Narrow" w:cs="Arial"/>
                <w:i/>
                <w:iCs/>
                <w:color w:val="000000"/>
                <w:sz w:val="8"/>
                <w:szCs w:val="8"/>
              </w:rPr>
            </w:pPr>
          </w:p>
        </w:tc>
        <w:tc>
          <w:tcPr>
            <w:tcW w:w="1312" w:type="dxa"/>
            <w:tcBorders>
              <w:top w:val="nil"/>
              <w:left w:val="nil"/>
              <w:bottom w:val="single" w:sz="8" w:space="0" w:color="03365F"/>
              <w:right w:val="nil"/>
            </w:tcBorders>
            <w:tcMar>
              <w:top w:w="0" w:type="dxa"/>
              <w:left w:w="70" w:type="dxa"/>
              <w:bottom w:w="0" w:type="dxa"/>
              <w:right w:w="70" w:type="dxa"/>
            </w:tcMar>
          </w:tcPr>
          <w:p w:rsidR="006C51EF" w:rsidRPr="004B1794" w:rsidRDefault="006C51EF" w:rsidP="00BF6BA1">
            <w:pPr>
              <w:spacing w:line="270" w:lineRule="exact"/>
              <w:ind w:right="258"/>
              <w:jc w:val="center"/>
              <w:rPr>
                <w:rFonts w:ascii="Arial Narrow" w:eastAsia="Calibri" w:hAnsi="Arial Narrow" w:cs="Arial"/>
                <w:i/>
                <w:iCs/>
                <w:color w:val="000000"/>
                <w:sz w:val="8"/>
                <w:szCs w:val="8"/>
              </w:rPr>
            </w:pPr>
          </w:p>
        </w:tc>
      </w:tr>
    </w:tbl>
    <w:p w:rsidR="00A75A35" w:rsidRDefault="00A75A35" w:rsidP="00B82FE5">
      <w:pPr>
        <w:pStyle w:val="Footer"/>
        <w:suppressAutoHyphens/>
        <w:spacing w:line="270" w:lineRule="exact"/>
        <w:ind w:right="360"/>
        <w:rPr>
          <w:rFonts w:ascii="Arial" w:hAnsi="Arial" w:cs="Arial"/>
          <w:sz w:val="18"/>
          <w:szCs w:val="18"/>
        </w:rPr>
      </w:pPr>
    </w:p>
    <w:p w:rsidR="00CC4E98" w:rsidRDefault="00CC4E98" w:rsidP="00CC4E98">
      <w:pPr>
        <w:spacing w:line="276" w:lineRule="auto"/>
        <w:rPr>
          <w:rFonts w:ascii="Arial" w:hAnsi="Arial" w:cs="Arial"/>
          <w:bCs/>
          <w:i/>
          <w:color w:val="000000"/>
          <w:sz w:val="16"/>
          <w:szCs w:val="16"/>
        </w:rPr>
      </w:pPr>
      <w:r>
        <w:rPr>
          <w:rFonts w:ascii="Arial" w:hAnsi="Arial" w:cs="Arial"/>
          <w:i/>
          <w:iCs/>
          <w:color w:val="000000"/>
          <w:sz w:val="16"/>
          <w:szCs w:val="16"/>
        </w:rPr>
        <w:t>*Objavljeni rezultati za 2014. su korigovani da bi se uzeo u obzir uticaj IFRIC 21</w:t>
      </w:r>
    </w:p>
    <w:p w:rsidR="006C51EF" w:rsidRPr="006C51EF" w:rsidRDefault="006C51EF" w:rsidP="006C51EF">
      <w:pPr>
        <w:suppressAutoHyphens/>
        <w:spacing w:line="276" w:lineRule="auto"/>
        <w:rPr>
          <w:rFonts w:ascii="Arial" w:hAnsi="Arial" w:cs="Arial"/>
          <w:bCs/>
          <w:i/>
          <w:color w:val="000000"/>
          <w:sz w:val="16"/>
          <w:szCs w:val="22"/>
        </w:rPr>
      </w:pPr>
      <w:r>
        <w:rPr>
          <w:rFonts w:ascii="Arial" w:hAnsi="Arial" w:cs="Arial"/>
          <w:i/>
          <w:iCs/>
          <w:color w:val="000000"/>
          <w:sz w:val="16"/>
          <w:szCs w:val="22"/>
        </w:rPr>
        <w:t>Godišnji rezultati za 2014. korigovani iz IFRIC 21 ekvivalentni su rezultatima objavljenim 2014. godine</w:t>
      </w:r>
    </w:p>
    <w:p w:rsidR="006C51EF" w:rsidRPr="007D1D0E" w:rsidRDefault="006C51EF" w:rsidP="00CC4E98">
      <w:pPr>
        <w:spacing w:line="276" w:lineRule="auto"/>
        <w:rPr>
          <w:rFonts w:ascii="Arial" w:hAnsi="Arial" w:cs="Arial"/>
          <w:bCs/>
          <w:i/>
          <w:color w:val="000000"/>
          <w:sz w:val="16"/>
          <w:szCs w:val="16"/>
        </w:rPr>
      </w:pPr>
    </w:p>
    <w:p w:rsidR="00A75A35" w:rsidRPr="007D1D0E" w:rsidRDefault="00A75A35">
      <w:pPr>
        <w:widowControl/>
        <w:spacing w:after="200" w:line="276" w:lineRule="auto"/>
        <w:rPr>
          <w:rFonts w:ascii="Arial" w:hAnsi="Arial" w:cs="Arial"/>
          <w:sz w:val="18"/>
          <w:szCs w:val="18"/>
        </w:rPr>
      </w:pPr>
      <w:r>
        <w:rPr>
          <w:rFonts w:ascii="Arial" w:hAnsi="Arial" w:cs="Arial"/>
          <w:sz w:val="18"/>
          <w:szCs w:val="18"/>
        </w:rPr>
        <w:br w:type="page"/>
      </w:r>
    </w:p>
    <w:p w:rsidR="00A75A35" w:rsidRPr="004B1794" w:rsidRDefault="000E2024" w:rsidP="00A75A35">
      <w:pPr>
        <w:numPr>
          <w:ilvl w:val="0"/>
          <w:numId w:val="2"/>
        </w:numPr>
        <w:suppressAutoHyphens/>
        <w:spacing w:line="270" w:lineRule="exact"/>
        <w:rPr>
          <w:rFonts w:ascii="Arial" w:hAnsi="Arial" w:cs="Arial"/>
          <w:b/>
          <w:bCs/>
          <w:color w:val="000000"/>
          <w:sz w:val="20"/>
          <w:szCs w:val="22"/>
        </w:rPr>
      </w:pPr>
      <w:r>
        <w:rPr>
          <w:rFonts w:ascii="Arial" w:hAnsi="Arial" w:cs="Arial"/>
          <w:b/>
          <w:bCs/>
          <w:color w:val="000000"/>
          <w:sz w:val="20"/>
          <w:szCs w:val="22"/>
        </w:rPr>
        <w:lastRenderedPageBreak/>
        <w:t>Promet</w:t>
      </w:r>
    </w:p>
    <w:p w:rsidR="00A75A35" w:rsidRPr="004B1794" w:rsidRDefault="00A75A35" w:rsidP="00A75A35">
      <w:pPr>
        <w:suppressAutoHyphens/>
        <w:spacing w:line="270" w:lineRule="exact"/>
        <w:rPr>
          <w:rFonts w:ascii="Arial" w:hAnsi="Arial" w:cs="Arial"/>
          <w:bCs/>
          <w:sz w:val="18"/>
          <w:szCs w:val="20"/>
        </w:rPr>
      </w:pPr>
    </w:p>
    <w:p w:rsidR="00ED352E" w:rsidRPr="00141E28" w:rsidRDefault="000E2024" w:rsidP="00ED352E">
      <w:pPr>
        <w:pStyle w:val="Textedesaisie"/>
        <w:suppressAutoHyphens/>
        <w:spacing w:line="270" w:lineRule="exact"/>
        <w:rPr>
          <w:rFonts w:cs="Arial"/>
          <w:bCs/>
        </w:rPr>
      </w:pPr>
      <w:r>
        <w:t xml:space="preserve">Godine 2015. konsolidovani promet kompanije Coface iznosio je 1 489,5M €, što je za 3,4% više u odnosu na </w:t>
      </w:r>
      <w:r>
        <w:rPr>
          <w:rFonts w:cs="Arial"/>
        </w:rPr>
        <w:t>2014. godinu (+1,2% uz nepromenjeni obim aktivnosti i devizni kurs). Ovo povećanje je posledica komercijalne strategije koju sprovodi Grupa, na osnovu inovacije proizvoda, distribucije kroz više kanala i jačanju njenog prodajnog procesa i praćenja prodaje.</w:t>
      </w:r>
    </w:p>
    <w:p w:rsidR="000E2024" w:rsidRPr="00141E28" w:rsidRDefault="000E2024" w:rsidP="00ED352E">
      <w:pPr>
        <w:pStyle w:val="Textedesaisie"/>
        <w:suppressAutoHyphens/>
        <w:spacing w:line="270" w:lineRule="exact"/>
        <w:rPr>
          <w:rFonts w:cs="Arial"/>
          <w:bCs/>
        </w:rPr>
      </w:pPr>
    </w:p>
    <w:p w:rsidR="004D04C9" w:rsidRPr="00141E28" w:rsidRDefault="000E2024" w:rsidP="00A75A35">
      <w:pPr>
        <w:pStyle w:val="Textedesaisie"/>
        <w:suppressAutoHyphens/>
        <w:spacing w:line="270" w:lineRule="exact"/>
        <w:rPr>
          <w:rFonts w:cs="Arial"/>
          <w:bCs/>
        </w:rPr>
      </w:pPr>
      <w:r>
        <w:rPr>
          <w:rFonts w:cs="Arial"/>
        </w:rPr>
        <w:t xml:space="preserve">Sklapanje novih ugovora bilo je manje u odnosu na prethodnu godinu, koja je obeležena potpisivanjem nekih velikih ugovora. Zadržavanje našeg portfolija klijenata bilo je dobro, iznosilo je 88,2%. </w:t>
      </w:r>
    </w:p>
    <w:p w:rsidR="00D23B73" w:rsidRPr="00141E28" w:rsidRDefault="00D23B73" w:rsidP="00A75A35">
      <w:pPr>
        <w:pStyle w:val="Textedesaisie"/>
        <w:suppressAutoHyphens/>
        <w:spacing w:line="270" w:lineRule="exact"/>
        <w:rPr>
          <w:rFonts w:cs="Arial"/>
          <w:bCs/>
        </w:rPr>
      </w:pPr>
    </w:p>
    <w:p w:rsidR="004D04C9" w:rsidRPr="00141E28" w:rsidRDefault="00D23B73" w:rsidP="00A75A35">
      <w:pPr>
        <w:pStyle w:val="Textedesaisie"/>
        <w:suppressAutoHyphens/>
        <w:spacing w:line="270" w:lineRule="exact"/>
        <w:rPr>
          <w:rFonts w:cs="Arial"/>
          <w:bCs/>
        </w:rPr>
      </w:pPr>
      <w:r>
        <w:rPr>
          <w:rFonts w:cs="Arial"/>
        </w:rPr>
        <w:t xml:space="preserve">Konkurentno okruženje i zdrava profitabilnost ugovora na razvijenim tržištima uticali su na cene tokom 2015. Međutim, ovaj pritisak na cene ostao je pod kontrolom: efekat cena na ugovore bio je stabilan u odnosu na 30. septembar 2015. godine, na -2,4%. </w:t>
      </w:r>
    </w:p>
    <w:p w:rsidR="004D04C9" w:rsidRPr="00DD28D9" w:rsidRDefault="004D04C9" w:rsidP="00A75A35">
      <w:pPr>
        <w:pStyle w:val="Textedesaisie"/>
        <w:suppressAutoHyphens/>
        <w:spacing w:line="270" w:lineRule="exact"/>
        <w:rPr>
          <w:rFonts w:cs="Arial"/>
          <w:bCs/>
          <w:sz w:val="19"/>
          <w:szCs w:val="19"/>
        </w:rPr>
      </w:pPr>
    </w:p>
    <w:p w:rsidR="00974B16" w:rsidRPr="00DD28D9" w:rsidRDefault="00974B16" w:rsidP="00A75A35">
      <w:pPr>
        <w:pStyle w:val="Textedesaisie"/>
        <w:suppressAutoHyphens/>
        <w:spacing w:line="270" w:lineRule="exact"/>
        <w:rPr>
          <w:rFonts w:cs="Arial"/>
          <w:bCs/>
          <w:sz w:val="19"/>
          <w:szCs w:val="19"/>
        </w:rPr>
      </w:pPr>
    </w:p>
    <w:tbl>
      <w:tblPr>
        <w:tblW w:w="7424" w:type="dxa"/>
        <w:tblInd w:w="1204" w:type="dxa"/>
        <w:tblCellMar>
          <w:left w:w="70" w:type="dxa"/>
          <w:right w:w="70" w:type="dxa"/>
        </w:tblCellMar>
        <w:tblLook w:val="04A0"/>
      </w:tblPr>
      <w:tblGrid>
        <w:gridCol w:w="2835"/>
        <w:gridCol w:w="1120"/>
        <w:gridCol w:w="1120"/>
        <w:gridCol w:w="1292"/>
        <w:gridCol w:w="1057"/>
      </w:tblGrid>
      <w:tr w:rsidR="007519FA" w:rsidRPr="00432F3D" w:rsidTr="00085311">
        <w:trPr>
          <w:trHeight w:val="555"/>
        </w:trPr>
        <w:tc>
          <w:tcPr>
            <w:tcW w:w="2835" w:type="dxa"/>
            <w:shd w:val="clear" w:color="000000" w:fill="03365F"/>
            <w:vAlign w:val="center"/>
            <w:hideMark/>
          </w:tcPr>
          <w:p w:rsidR="007519FA" w:rsidRPr="00D67205" w:rsidRDefault="00432F3D" w:rsidP="00432F3D">
            <w:pPr>
              <w:widowControl/>
              <w:jc w:val="center"/>
              <w:rPr>
                <w:rFonts w:ascii="Arial Narrow" w:eastAsia="Times New Roman" w:hAnsi="Arial Narrow" w:cs="Times New Roman"/>
                <w:i/>
                <w:iCs/>
                <w:color w:val="FFFFFF"/>
                <w:sz w:val="18"/>
                <w:szCs w:val="18"/>
              </w:rPr>
            </w:pPr>
            <w:r>
              <w:rPr>
                <w:rFonts w:ascii="Arial Narrow" w:eastAsia="Times New Roman" w:hAnsi="Arial Narrow" w:cs="Times New Roman"/>
                <w:i/>
                <w:iCs/>
                <w:color w:val="FFFFFF"/>
                <w:sz w:val="18"/>
                <w:szCs w:val="18"/>
              </w:rPr>
              <w:t>Promet u milionima evra</w:t>
            </w:r>
          </w:p>
        </w:tc>
        <w:tc>
          <w:tcPr>
            <w:tcW w:w="1120" w:type="dxa"/>
            <w:shd w:val="clear" w:color="000000" w:fill="03365F"/>
            <w:vAlign w:val="center"/>
            <w:hideMark/>
          </w:tcPr>
          <w:p w:rsidR="007519FA" w:rsidRPr="00D67205" w:rsidRDefault="007519FA" w:rsidP="00D67205">
            <w:pPr>
              <w:widowControl/>
              <w:jc w:val="center"/>
              <w:rPr>
                <w:rFonts w:ascii="Arial Narrow" w:eastAsia="Times New Roman" w:hAnsi="Arial Narrow" w:cs="Times New Roman"/>
                <w:color w:val="FFFFFF"/>
                <w:sz w:val="18"/>
                <w:szCs w:val="18"/>
              </w:rPr>
            </w:pPr>
            <w:r>
              <w:rPr>
                <w:rFonts w:ascii="Arial Narrow" w:eastAsia="Times New Roman" w:hAnsi="Arial Narrow" w:cs="Times New Roman"/>
                <w:color w:val="FFFFFF"/>
                <w:sz w:val="18"/>
                <w:szCs w:val="18"/>
              </w:rPr>
              <w:t>2014</w:t>
            </w:r>
          </w:p>
        </w:tc>
        <w:tc>
          <w:tcPr>
            <w:tcW w:w="1120" w:type="dxa"/>
            <w:shd w:val="clear" w:color="000000" w:fill="03365F"/>
            <w:vAlign w:val="center"/>
            <w:hideMark/>
          </w:tcPr>
          <w:p w:rsidR="007519FA" w:rsidRPr="00D67205" w:rsidRDefault="007519FA" w:rsidP="00D67205">
            <w:pPr>
              <w:widowControl/>
              <w:jc w:val="center"/>
              <w:rPr>
                <w:rFonts w:ascii="Arial Narrow" w:eastAsia="Times New Roman" w:hAnsi="Arial Narrow" w:cs="Times New Roman"/>
                <w:b/>
                <w:bCs/>
                <w:color w:val="FFFFFF"/>
                <w:sz w:val="18"/>
                <w:szCs w:val="18"/>
              </w:rPr>
            </w:pPr>
            <w:r>
              <w:rPr>
                <w:rFonts w:ascii="Arial Narrow" w:eastAsia="Times New Roman" w:hAnsi="Arial Narrow" w:cs="Times New Roman"/>
                <w:b/>
                <w:bCs/>
                <w:color w:val="FFFFFF"/>
                <w:sz w:val="18"/>
                <w:szCs w:val="18"/>
              </w:rPr>
              <w:t>2015</w:t>
            </w:r>
          </w:p>
        </w:tc>
        <w:tc>
          <w:tcPr>
            <w:tcW w:w="1292" w:type="dxa"/>
            <w:shd w:val="clear" w:color="000000" w:fill="03365F"/>
            <w:vAlign w:val="center"/>
            <w:hideMark/>
          </w:tcPr>
          <w:p w:rsidR="007519FA" w:rsidRPr="00D67205" w:rsidRDefault="00432F3D" w:rsidP="00D67205">
            <w:pPr>
              <w:widowControl/>
              <w:jc w:val="center"/>
              <w:rPr>
                <w:rFonts w:ascii="Arial Narrow" w:eastAsia="Times New Roman" w:hAnsi="Arial Narrow" w:cs="Times New Roman"/>
                <w:b/>
                <w:bCs/>
                <w:color w:val="FFFFFF"/>
                <w:sz w:val="18"/>
                <w:szCs w:val="18"/>
              </w:rPr>
            </w:pPr>
            <w:r>
              <w:rPr>
                <w:rFonts w:ascii="Arial Narrow" w:eastAsia="Times New Roman" w:hAnsi="Arial Narrow" w:cs="Times New Roman"/>
                <w:b/>
                <w:bCs/>
                <w:color w:val="FFFFFF"/>
                <w:sz w:val="18"/>
                <w:szCs w:val="18"/>
              </w:rPr>
              <w:t>Promena</w:t>
            </w:r>
          </w:p>
        </w:tc>
        <w:tc>
          <w:tcPr>
            <w:tcW w:w="1057" w:type="dxa"/>
            <w:shd w:val="clear" w:color="000000" w:fill="03365F"/>
            <w:vAlign w:val="center"/>
            <w:hideMark/>
          </w:tcPr>
          <w:p w:rsidR="007519FA" w:rsidRPr="00432F3D" w:rsidRDefault="00432F3D" w:rsidP="00432F3D">
            <w:pPr>
              <w:widowControl/>
              <w:jc w:val="center"/>
              <w:rPr>
                <w:rFonts w:ascii="Arial Narrow" w:eastAsia="Times New Roman" w:hAnsi="Arial Narrow" w:cs="Times New Roman"/>
                <w:color w:val="FFFFFF"/>
                <w:sz w:val="18"/>
                <w:szCs w:val="18"/>
              </w:rPr>
            </w:pPr>
            <w:r>
              <w:rPr>
                <w:rFonts w:ascii="Arial Narrow" w:eastAsia="Times New Roman" w:hAnsi="Arial Narrow" w:cs="Times New Roman"/>
                <w:color w:val="FFFFFF"/>
                <w:sz w:val="18"/>
                <w:szCs w:val="18"/>
              </w:rPr>
              <w:t>Promena</w:t>
            </w:r>
            <w:r>
              <w:rPr>
                <w:rFonts w:ascii="Arial Narrow" w:eastAsia="Times New Roman" w:hAnsi="Arial Narrow" w:cs="Times New Roman"/>
                <w:color w:val="FFFFFF"/>
                <w:sz w:val="18"/>
                <w:szCs w:val="18"/>
              </w:rPr>
              <w:br/>
              <w:t>poređenje sa prethodnom godinom</w:t>
            </w:r>
            <w:r>
              <w:rPr>
                <w:rFonts w:ascii="Arial Narrow" w:eastAsia="Times New Roman" w:hAnsi="Arial Narrow" w:cs="Times New Roman"/>
                <w:color w:val="FFFFFF"/>
                <w:sz w:val="18"/>
                <w:szCs w:val="18"/>
                <w:vertAlign w:val="superscript"/>
              </w:rPr>
              <w:t>1</w:t>
            </w:r>
          </w:p>
        </w:tc>
      </w:tr>
      <w:tr w:rsidR="00432F3D" w:rsidRPr="00432F3D" w:rsidTr="00ED2BBE">
        <w:trPr>
          <w:trHeight w:val="270"/>
        </w:trPr>
        <w:tc>
          <w:tcPr>
            <w:tcW w:w="2835" w:type="dxa"/>
            <w:shd w:val="clear" w:color="auto" w:fill="auto"/>
            <w:vAlign w:val="center"/>
            <w:hideMark/>
          </w:tcPr>
          <w:p w:rsidR="00432F3D" w:rsidRPr="00432F3D" w:rsidRDefault="00432F3D" w:rsidP="00AB7FBA">
            <w:pPr>
              <w:widowControl/>
              <w:rPr>
                <w:rFonts w:ascii="Arial Narrow" w:eastAsia="Times New Roman" w:hAnsi="Arial Narrow" w:cs="Times New Roman"/>
                <w:color w:val="000000"/>
                <w:sz w:val="18"/>
                <w:szCs w:val="18"/>
              </w:rPr>
            </w:pPr>
            <w:r>
              <w:rPr>
                <w:rFonts w:ascii="Arial Narrow" w:eastAsia="Times New Roman" w:hAnsi="Arial Narrow" w:cs="Arial"/>
                <w:color w:val="000000"/>
                <w:sz w:val="18"/>
                <w:szCs w:val="18"/>
              </w:rPr>
              <w:t>Zapadna Evropa</w:t>
            </w:r>
          </w:p>
        </w:tc>
        <w:tc>
          <w:tcPr>
            <w:tcW w:w="1120" w:type="dxa"/>
            <w:shd w:val="clear" w:color="auto" w:fill="auto"/>
            <w:noWrap/>
            <w:vAlign w:val="center"/>
          </w:tcPr>
          <w:p w:rsidR="00432F3D" w:rsidRPr="00432F3D" w:rsidRDefault="00432F3D">
            <w:pPr>
              <w:jc w:val="center"/>
              <w:rPr>
                <w:rFonts w:ascii="Arial Narrow" w:hAnsi="Arial Narrow"/>
                <w:sz w:val="18"/>
                <w:szCs w:val="18"/>
              </w:rPr>
            </w:pPr>
            <w:r>
              <w:rPr>
                <w:rFonts w:ascii="Arial Narrow" w:hAnsi="Arial Narrow"/>
                <w:sz w:val="18"/>
                <w:szCs w:val="18"/>
              </w:rPr>
              <w:t>461,7</w:t>
            </w:r>
          </w:p>
        </w:tc>
        <w:tc>
          <w:tcPr>
            <w:tcW w:w="1120" w:type="dxa"/>
            <w:shd w:val="clear" w:color="000000" w:fill="CCD1DD"/>
            <w:noWrap/>
            <w:vAlign w:val="center"/>
          </w:tcPr>
          <w:p w:rsidR="00432F3D" w:rsidRPr="00432F3D" w:rsidRDefault="00432F3D">
            <w:pPr>
              <w:jc w:val="center"/>
              <w:rPr>
                <w:rFonts w:ascii="Arial Narrow" w:hAnsi="Arial Narrow"/>
                <w:sz w:val="18"/>
                <w:szCs w:val="18"/>
              </w:rPr>
            </w:pPr>
            <w:r>
              <w:rPr>
                <w:rFonts w:ascii="Arial Narrow" w:hAnsi="Arial Narrow"/>
                <w:sz w:val="18"/>
                <w:szCs w:val="18"/>
              </w:rPr>
              <w:t>457,2</w:t>
            </w:r>
          </w:p>
        </w:tc>
        <w:tc>
          <w:tcPr>
            <w:tcW w:w="1292" w:type="dxa"/>
            <w:shd w:val="clear" w:color="000000" w:fill="FFFFFF"/>
            <w:vAlign w:val="center"/>
          </w:tcPr>
          <w:p w:rsidR="00432F3D" w:rsidRPr="00432F3D" w:rsidRDefault="00432F3D">
            <w:pPr>
              <w:jc w:val="center"/>
              <w:rPr>
                <w:rFonts w:ascii="Arial Narrow" w:hAnsi="Arial Narrow"/>
                <w:sz w:val="18"/>
                <w:szCs w:val="18"/>
              </w:rPr>
            </w:pPr>
            <w:r>
              <w:rPr>
                <w:rFonts w:ascii="Arial Narrow" w:hAnsi="Arial Narrow"/>
                <w:sz w:val="18"/>
                <w:szCs w:val="18"/>
              </w:rPr>
              <w:t>(1,0)%</w:t>
            </w:r>
          </w:p>
        </w:tc>
        <w:tc>
          <w:tcPr>
            <w:tcW w:w="1057" w:type="dxa"/>
            <w:shd w:val="clear" w:color="000000" w:fill="FFFFFF"/>
            <w:vAlign w:val="center"/>
          </w:tcPr>
          <w:p w:rsidR="00432F3D" w:rsidRPr="00432F3D" w:rsidRDefault="00432F3D">
            <w:pPr>
              <w:jc w:val="center"/>
              <w:rPr>
                <w:rFonts w:ascii="Arial Narrow" w:hAnsi="Arial Narrow"/>
                <w:sz w:val="18"/>
                <w:szCs w:val="18"/>
              </w:rPr>
            </w:pPr>
            <w:r>
              <w:rPr>
                <w:rFonts w:ascii="Arial Narrow" w:hAnsi="Arial Narrow"/>
                <w:sz w:val="18"/>
                <w:szCs w:val="18"/>
              </w:rPr>
              <w:t>(2,5)%</w:t>
            </w:r>
          </w:p>
        </w:tc>
      </w:tr>
      <w:tr w:rsidR="00432F3D" w:rsidRPr="00432F3D" w:rsidTr="00ED2BBE">
        <w:trPr>
          <w:trHeight w:val="270"/>
        </w:trPr>
        <w:tc>
          <w:tcPr>
            <w:tcW w:w="2835" w:type="dxa"/>
            <w:shd w:val="clear" w:color="auto" w:fill="auto"/>
            <w:vAlign w:val="center"/>
            <w:hideMark/>
          </w:tcPr>
          <w:p w:rsidR="00432F3D" w:rsidRPr="00432F3D" w:rsidRDefault="00432F3D" w:rsidP="00AB7FBA">
            <w:pPr>
              <w:widowControl/>
              <w:rPr>
                <w:rFonts w:ascii="Arial Narrow" w:eastAsia="Times New Roman" w:hAnsi="Arial Narrow" w:cs="Times New Roman"/>
                <w:color w:val="000000"/>
                <w:sz w:val="18"/>
                <w:szCs w:val="18"/>
              </w:rPr>
            </w:pPr>
            <w:r>
              <w:rPr>
                <w:rFonts w:ascii="Arial Narrow" w:eastAsia="Times New Roman" w:hAnsi="Arial Narrow" w:cs="Arial"/>
                <w:color w:val="000000"/>
                <w:sz w:val="18"/>
                <w:szCs w:val="18"/>
              </w:rPr>
              <w:t>Severna Evropa</w:t>
            </w:r>
          </w:p>
        </w:tc>
        <w:tc>
          <w:tcPr>
            <w:tcW w:w="1120" w:type="dxa"/>
            <w:shd w:val="clear" w:color="auto" w:fill="auto"/>
            <w:noWrap/>
            <w:vAlign w:val="center"/>
          </w:tcPr>
          <w:p w:rsidR="00432F3D" w:rsidRPr="00432F3D" w:rsidRDefault="00432F3D">
            <w:pPr>
              <w:jc w:val="center"/>
              <w:rPr>
                <w:rFonts w:ascii="Arial Narrow" w:hAnsi="Arial Narrow"/>
                <w:sz w:val="18"/>
                <w:szCs w:val="18"/>
              </w:rPr>
            </w:pPr>
            <w:r>
              <w:rPr>
                <w:rFonts w:ascii="Arial Narrow" w:hAnsi="Arial Narrow"/>
                <w:sz w:val="18"/>
                <w:szCs w:val="18"/>
              </w:rPr>
              <w:t>352,0</w:t>
            </w:r>
          </w:p>
        </w:tc>
        <w:tc>
          <w:tcPr>
            <w:tcW w:w="1120" w:type="dxa"/>
            <w:shd w:val="clear" w:color="000000" w:fill="CCD1DD"/>
            <w:noWrap/>
            <w:vAlign w:val="center"/>
          </w:tcPr>
          <w:p w:rsidR="00432F3D" w:rsidRPr="00432F3D" w:rsidRDefault="00432F3D">
            <w:pPr>
              <w:jc w:val="center"/>
              <w:rPr>
                <w:rFonts w:ascii="Arial Narrow" w:hAnsi="Arial Narrow"/>
                <w:sz w:val="18"/>
                <w:szCs w:val="18"/>
              </w:rPr>
            </w:pPr>
            <w:r>
              <w:rPr>
                <w:rFonts w:ascii="Arial Narrow" w:hAnsi="Arial Narrow"/>
                <w:sz w:val="18"/>
                <w:szCs w:val="18"/>
              </w:rPr>
              <w:t>334,9</w:t>
            </w:r>
          </w:p>
        </w:tc>
        <w:tc>
          <w:tcPr>
            <w:tcW w:w="1292" w:type="dxa"/>
            <w:shd w:val="clear" w:color="000000" w:fill="FFFFFF"/>
            <w:vAlign w:val="center"/>
          </w:tcPr>
          <w:p w:rsidR="00432F3D" w:rsidRPr="00432F3D" w:rsidRDefault="00432F3D">
            <w:pPr>
              <w:jc w:val="center"/>
              <w:rPr>
                <w:rFonts w:ascii="Arial Narrow" w:hAnsi="Arial Narrow"/>
                <w:sz w:val="18"/>
                <w:szCs w:val="18"/>
              </w:rPr>
            </w:pPr>
            <w:r>
              <w:rPr>
                <w:rFonts w:ascii="Arial Narrow" w:hAnsi="Arial Narrow"/>
                <w:sz w:val="18"/>
                <w:szCs w:val="18"/>
              </w:rPr>
              <w:t>(4,9)%</w:t>
            </w:r>
          </w:p>
        </w:tc>
        <w:tc>
          <w:tcPr>
            <w:tcW w:w="1057" w:type="dxa"/>
            <w:shd w:val="clear" w:color="000000" w:fill="FFFFFF"/>
            <w:vAlign w:val="center"/>
          </w:tcPr>
          <w:p w:rsidR="00432F3D" w:rsidRPr="00432F3D" w:rsidRDefault="00432F3D">
            <w:pPr>
              <w:jc w:val="center"/>
              <w:rPr>
                <w:rFonts w:ascii="Arial Narrow" w:hAnsi="Arial Narrow"/>
                <w:sz w:val="18"/>
                <w:szCs w:val="18"/>
              </w:rPr>
            </w:pPr>
            <w:r>
              <w:rPr>
                <w:rFonts w:ascii="Arial Narrow" w:hAnsi="Arial Narrow"/>
                <w:sz w:val="18"/>
                <w:szCs w:val="18"/>
              </w:rPr>
              <w:t>(3,8)%</w:t>
            </w:r>
          </w:p>
        </w:tc>
      </w:tr>
      <w:tr w:rsidR="00432F3D" w:rsidRPr="00D67205" w:rsidTr="00ED2BBE">
        <w:trPr>
          <w:trHeight w:val="270"/>
        </w:trPr>
        <w:tc>
          <w:tcPr>
            <w:tcW w:w="2835" w:type="dxa"/>
            <w:shd w:val="clear" w:color="auto" w:fill="auto"/>
            <w:vAlign w:val="center"/>
            <w:hideMark/>
          </w:tcPr>
          <w:p w:rsidR="00432F3D" w:rsidRPr="00432F3D" w:rsidRDefault="00432F3D" w:rsidP="00AB7FBA">
            <w:pPr>
              <w:widowControl/>
              <w:rPr>
                <w:rFonts w:ascii="Arial Narrow" w:eastAsia="Times New Roman" w:hAnsi="Arial Narrow" w:cs="Times New Roman"/>
                <w:color w:val="000000"/>
                <w:sz w:val="18"/>
                <w:szCs w:val="18"/>
              </w:rPr>
            </w:pPr>
            <w:r>
              <w:rPr>
                <w:rFonts w:ascii="Arial Narrow" w:eastAsia="Times New Roman" w:hAnsi="Arial Narrow" w:cs="Arial"/>
                <w:color w:val="000000"/>
                <w:sz w:val="18"/>
                <w:szCs w:val="18"/>
              </w:rPr>
              <w:t>Sredozemlje i Afrika</w:t>
            </w:r>
          </w:p>
        </w:tc>
        <w:tc>
          <w:tcPr>
            <w:tcW w:w="1120" w:type="dxa"/>
            <w:shd w:val="clear" w:color="auto" w:fill="auto"/>
            <w:noWrap/>
            <w:vAlign w:val="center"/>
          </w:tcPr>
          <w:p w:rsidR="00432F3D" w:rsidRPr="00432F3D" w:rsidRDefault="00432F3D">
            <w:pPr>
              <w:jc w:val="center"/>
              <w:rPr>
                <w:rFonts w:ascii="Arial Narrow" w:hAnsi="Arial Narrow"/>
                <w:sz w:val="18"/>
                <w:szCs w:val="18"/>
              </w:rPr>
            </w:pPr>
            <w:r>
              <w:rPr>
                <w:rFonts w:ascii="Arial Narrow" w:hAnsi="Arial Narrow"/>
                <w:sz w:val="18"/>
                <w:szCs w:val="18"/>
              </w:rPr>
              <w:t>226,5</w:t>
            </w:r>
          </w:p>
        </w:tc>
        <w:tc>
          <w:tcPr>
            <w:tcW w:w="1120" w:type="dxa"/>
            <w:shd w:val="clear" w:color="000000" w:fill="CCD1DD"/>
            <w:noWrap/>
            <w:vAlign w:val="center"/>
          </w:tcPr>
          <w:p w:rsidR="00432F3D" w:rsidRPr="00432F3D" w:rsidRDefault="00432F3D">
            <w:pPr>
              <w:jc w:val="center"/>
              <w:rPr>
                <w:rFonts w:ascii="Arial Narrow" w:hAnsi="Arial Narrow"/>
                <w:sz w:val="18"/>
                <w:szCs w:val="18"/>
              </w:rPr>
            </w:pPr>
            <w:r>
              <w:rPr>
                <w:rFonts w:ascii="Arial Narrow" w:hAnsi="Arial Narrow"/>
                <w:sz w:val="18"/>
                <w:szCs w:val="18"/>
              </w:rPr>
              <w:t>246,4</w:t>
            </w:r>
          </w:p>
        </w:tc>
        <w:tc>
          <w:tcPr>
            <w:tcW w:w="1292" w:type="dxa"/>
            <w:shd w:val="clear" w:color="000000" w:fill="FFFFFF"/>
            <w:vAlign w:val="center"/>
          </w:tcPr>
          <w:p w:rsidR="00432F3D" w:rsidRPr="00432F3D" w:rsidRDefault="00432F3D">
            <w:pPr>
              <w:jc w:val="center"/>
              <w:rPr>
                <w:rFonts w:ascii="Arial Narrow" w:hAnsi="Arial Narrow"/>
                <w:sz w:val="18"/>
                <w:szCs w:val="18"/>
              </w:rPr>
            </w:pPr>
            <w:r>
              <w:rPr>
                <w:rFonts w:ascii="Arial Narrow" w:hAnsi="Arial Narrow"/>
                <w:sz w:val="18"/>
                <w:szCs w:val="18"/>
              </w:rPr>
              <w:t>+8,8%</w:t>
            </w:r>
          </w:p>
        </w:tc>
        <w:tc>
          <w:tcPr>
            <w:tcW w:w="1057" w:type="dxa"/>
            <w:shd w:val="clear" w:color="000000" w:fill="FFFFFF"/>
            <w:vAlign w:val="center"/>
          </w:tcPr>
          <w:p w:rsidR="00432F3D" w:rsidRPr="00815464" w:rsidRDefault="00432F3D">
            <w:pPr>
              <w:jc w:val="center"/>
              <w:rPr>
                <w:rFonts w:ascii="Arial Narrow" w:hAnsi="Arial Narrow"/>
                <w:sz w:val="18"/>
                <w:szCs w:val="18"/>
              </w:rPr>
            </w:pPr>
            <w:r>
              <w:rPr>
                <w:rFonts w:ascii="Arial Narrow" w:hAnsi="Arial Narrow"/>
                <w:sz w:val="18"/>
                <w:szCs w:val="18"/>
              </w:rPr>
              <w:t>+8,5%</w:t>
            </w:r>
          </w:p>
        </w:tc>
      </w:tr>
      <w:tr w:rsidR="00432F3D" w:rsidRPr="00D67205" w:rsidTr="00ED2BBE">
        <w:trPr>
          <w:trHeight w:val="270"/>
        </w:trPr>
        <w:tc>
          <w:tcPr>
            <w:tcW w:w="2835" w:type="dxa"/>
            <w:shd w:val="clear" w:color="auto" w:fill="auto"/>
            <w:vAlign w:val="center"/>
            <w:hideMark/>
          </w:tcPr>
          <w:p w:rsidR="00432F3D" w:rsidRPr="00D67205" w:rsidRDefault="00432F3D" w:rsidP="00AB7FBA">
            <w:pPr>
              <w:widowControl/>
              <w:rPr>
                <w:rFonts w:ascii="Arial Narrow" w:eastAsia="Times New Roman" w:hAnsi="Arial Narrow" w:cs="Times New Roman"/>
                <w:color w:val="000000"/>
                <w:sz w:val="18"/>
                <w:szCs w:val="18"/>
              </w:rPr>
            </w:pPr>
            <w:r>
              <w:rPr>
                <w:rFonts w:ascii="Arial Narrow" w:eastAsia="Times New Roman" w:hAnsi="Arial Narrow" w:cs="Arial"/>
                <w:color w:val="000000"/>
                <w:sz w:val="18"/>
                <w:szCs w:val="18"/>
              </w:rPr>
              <w:t>Severna Amerika</w:t>
            </w:r>
          </w:p>
        </w:tc>
        <w:tc>
          <w:tcPr>
            <w:tcW w:w="1120" w:type="dxa"/>
            <w:shd w:val="clear" w:color="auto" w:fill="auto"/>
            <w:noWrap/>
            <w:vAlign w:val="center"/>
          </w:tcPr>
          <w:p w:rsidR="00432F3D" w:rsidRPr="00815464" w:rsidRDefault="00432F3D">
            <w:pPr>
              <w:jc w:val="center"/>
              <w:rPr>
                <w:rFonts w:ascii="Arial Narrow" w:hAnsi="Arial Narrow"/>
                <w:sz w:val="18"/>
                <w:szCs w:val="18"/>
              </w:rPr>
            </w:pPr>
            <w:r>
              <w:rPr>
                <w:rFonts w:ascii="Arial Narrow" w:hAnsi="Arial Narrow"/>
                <w:sz w:val="18"/>
                <w:szCs w:val="18"/>
              </w:rPr>
              <w:t>113,8</w:t>
            </w:r>
          </w:p>
        </w:tc>
        <w:tc>
          <w:tcPr>
            <w:tcW w:w="1120" w:type="dxa"/>
            <w:shd w:val="clear" w:color="000000" w:fill="CCD1DD"/>
            <w:noWrap/>
            <w:vAlign w:val="center"/>
          </w:tcPr>
          <w:p w:rsidR="00432F3D" w:rsidRPr="00815464" w:rsidRDefault="00432F3D">
            <w:pPr>
              <w:jc w:val="center"/>
              <w:rPr>
                <w:rFonts w:ascii="Arial Narrow" w:hAnsi="Arial Narrow"/>
                <w:sz w:val="18"/>
                <w:szCs w:val="18"/>
              </w:rPr>
            </w:pPr>
            <w:r>
              <w:rPr>
                <w:rFonts w:ascii="Arial Narrow" w:hAnsi="Arial Narrow"/>
                <w:sz w:val="18"/>
                <w:szCs w:val="18"/>
              </w:rPr>
              <w:t>131,3</w:t>
            </w:r>
          </w:p>
        </w:tc>
        <w:tc>
          <w:tcPr>
            <w:tcW w:w="1292" w:type="dxa"/>
            <w:shd w:val="clear" w:color="000000" w:fill="FFFFFF"/>
            <w:vAlign w:val="center"/>
          </w:tcPr>
          <w:p w:rsidR="00432F3D" w:rsidRPr="00815464" w:rsidRDefault="00432F3D">
            <w:pPr>
              <w:jc w:val="center"/>
              <w:rPr>
                <w:rFonts w:ascii="Arial Narrow" w:hAnsi="Arial Narrow"/>
                <w:sz w:val="18"/>
                <w:szCs w:val="18"/>
              </w:rPr>
            </w:pPr>
            <w:r>
              <w:rPr>
                <w:rFonts w:ascii="Arial Narrow" w:hAnsi="Arial Narrow"/>
                <w:sz w:val="18"/>
                <w:szCs w:val="18"/>
              </w:rPr>
              <w:t>+15,4%</w:t>
            </w:r>
          </w:p>
        </w:tc>
        <w:tc>
          <w:tcPr>
            <w:tcW w:w="1057" w:type="dxa"/>
            <w:shd w:val="clear" w:color="000000" w:fill="FFFFFF"/>
            <w:vAlign w:val="center"/>
          </w:tcPr>
          <w:p w:rsidR="00432F3D" w:rsidRPr="00815464" w:rsidRDefault="00432F3D">
            <w:pPr>
              <w:jc w:val="center"/>
              <w:rPr>
                <w:rFonts w:ascii="Arial Narrow" w:hAnsi="Arial Narrow"/>
                <w:sz w:val="18"/>
                <w:szCs w:val="18"/>
              </w:rPr>
            </w:pPr>
            <w:r>
              <w:rPr>
                <w:rFonts w:ascii="Arial Narrow" w:hAnsi="Arial Narrow"/>
                <w:sz w:val="18"/>
                <w:szCs w:val="18"/>
              </w:rPr>
              <w:t>(0,6)%</w:t>
            </w:r>
          </w:p>
        </w:tc>
      </w:tr>
      <w:tr w:rsidR="00432F3D" w:rsidRPr="00D67205" w:rsidTr="00ED2BBE">
        <w:trPr>
          <w:trHeight w:val="270"/>
        </w:trPr>
        <w:tc>
          <w:tcPr>
            <w:tcW w:w="2835" w:type="dxa"/>
            <w:shd w:val="clear" w:color="auto" w:fill="auto"/>
            <w:vAlign w:val="center"/>
            <w:hideMark/>
          </w:tcPr>
          <w:p w:rsidR="00432F3D" w:rsidRPr="00D67205" w:rsidRDefault="00432F3D" w:rsidP="00AB7FBA">
            <w:pPr>
              <w:widowControl/>
              <w:rPr>
                <w:rFonts w:ascii="Arial Narrow" w:eastAsia="Times New Roman" w:hAnsi="Arial Narrow" w:cs="Times New Roman"/>
                <w:color w:val="000000"/>
                <w:sz w:val="18"/>
                <w:szCs w:val="18"/>
              </w:rPr>
            </w:pPr>
            <w:r>
              <w:rPr>
                <w:rFonts w:ascii="Arial Narrow" w:eastAsia="Times New Roman" w:hAnsi="Arial Narrow" w:cs="Arial"/>
                <w:color w:val="000000"/>
                <w:sz w:val="18"/>
                <w:szCs w:val="18"/>
              </w:rPr>
              <w:t>Centralna Evropa</w:t>
            </w:r>
          </w:p>
        </w:tc>
        <w:tc>
          <w:tcPr>
            <w:tcW w:w="1120" w:type="dxa"/>
            <w:shd w:val="clear" w:color="000000" w:fill="FFFFFF"/>
            <w:noWrap/>
            <w:vAlign w:val="center"/>
          </w:tcPr>
          <w:p w:rsidR="00432F3D" w:rsidRPr="00815464" w:rsidRDefault="00432F3D">
            <w:pPr>
              <w:jc w:val="center"/>
              <w:rPr>
                <w:rFonts w:ascii="Arial Narrow" w:hAnsi="Arial Narrow"/>
                <w:sz w:val="18"/>
                <w:szCs w:val="18"/>
              </w:rPr>
            </w:pPr>
            <w:r>
              <w:rPr>
                <w:rFonts w:ascii="Arial Narrow" w:hAnsi="Arial Narrow"/>
                <w:sz w:val="18"/>
                <w:szCs w:val="18"/>
              </w:rPr>
              <w:t>113,3</w:t>
            </w:r>
          </w:p>
        </w:tc>
        <w:tc>
          <w:tcPr>
            <w:tcW w:w="1120" w:type="dxa"/>
            <w:shd w:val="clear" w:color="000000" w:fill="CCD1DD"/>
            <w:noWrap/>
            <w:vAlign w:val="center"/>
          </w:tcPr>
          <w:p w:rsidR="00432F3D" w:rsidRPr="00815464" w:rsidRDefault="00432F3D">
            <w:pPr>
              <w:jc w:val="center"/>
              <w:rPr>
                <w:rFonts w:ascii="Arial Narrow" w:hAnsi="Arial Narrow"/>
                <w:sz w:val="18"/>
                <w:szCs w:val="18"/>
              </w:rPr>
            </w:pPr>
            <w:r>
              <w:rPr>
                <w:rFonts w:ascii="Arial Narrow" w:hAnsi="Arial Narrow"/>
                <w:sz w:val="18"/>
                <w:szCs w:val="18"/>
              </w:rPr>
              <w:t>114,9</w:t>
            </w:r>
          </w:p>
        </w:tc>
        <w:tc>
          <w:tcPr>
            <w:tcW w:w="1292" w:type="dxa"/>
            <w:shd w:val="clear" w:color="000000" w:fill="FFFFFF"/>
            <w:vAlign w:val="center"/>
          </w:tcPr>
          <w:p w:rsidR="00432F3D" w:rsidRPr="00815464" w:rsidRDefault="00432F3D">
            <w:pPr>
              <w:jc w:val="center"/>
              <w:rPr>
                <w:rFonts w:ascii="Arial Narrow" w:hAnsi="Arial Narrow"/>
                <w:sz w:val="18"/>
                <w:szCs w:val="18"/>
              </w:rPr>
            </w:pPr>
            <w:r>
              <w:rPr>
                <w:rFonts w:ascii="Arial Narrow" w:hAnsi="Arial Narrow"/>
                <w:sz w:val="18"/>
                <w:szCs w:val="18"/>
              </w:rPr>
              <w:t>+1,4%</w:t>
            </w:r>
          </w:p>
        </w:tc>
        <w:tc>
          <w:tcPr>
            <w:tcW w:w="1057" w:type="dxa"/>
            <w:shd w:val="clear" w:color="000000" w:fill="FFFFFF"/>
            <w:vAlign w:val="center"/>
          </w:tcPr>
          <w:p w:rsidR="00432F3D" w:rsidRPr="00815464" w:rsidRDefault="00432F3D">
            <w:pPr>
              <w:jc w:val="center"/>
              <w:rPr>
                <w:rFonts w:ascii="Arial Narrow" w:hAnsi="Arial Narrow"/>
                <w:sz w:val="18"/>
                <w:szCs w:val="18"/>
              </w:rPr>
            </w:pPr>
            <w:r>
              <w:rPr>
                <w:rFonts w:ascii="Arial Narrow" w:hAnsi="Arial Narrow"/>
                <w:sz w:val="18"/>
                <w:szCs w:val="18"/>
              </w:rPr>
              <w:t>+1,4%</w:t>
            </w:r>
          </w:p>
        </w:tc>
      </w:tr>
      <w:tr w:rsidR="00432F3D" w:rsidRPr="00D67205" w:rsidTr="002E7FC1">
        <w:trPr>
          <w:trHeight w:val="270"/>
        </w:trPr>
        <w:tc>
          <w:tcPr>
            <w:tcW w:w="2835" w:type="dxa"/>
            <w:shd w:val="clear" w:color="auto" w:fill="auto"/>
            <w:vAlign w:val="center"/>
            <w:hideMark/>
          </w:tcPr>
          <w:p w:rsidR="00432F3D" w:rsidRPr="00D67205" w:rsidRDefault="00432F3D" w:rsidP="00AB7FBA">
            <w:pPr>
              <w:widowControl/>
              <w:rPr>
                <w:rFonts w:ascii="Arial Narrow" w:eastAsia="Times New Roman" w:hAnsi="Arial Narrow" w:cs="Times New Roman"/>
                <w:color w:val="000000"/>
                <w:sz w:val="18"/>
                <w:szCs w:val="18"/>
              </w:rPr>
            </w:pPr>
            <w:r>
              <w:rPr>
                <w:rFonts w:ascii="Arial Narrow" w:eastAsia="Times New Roman" w:hAnsi="Arial Narrow" w:cs="Arial"/>
                <w:color w:val="000000"/>
                <w:sz w:val="18"/>
                <w:szCs w:val="18"/>
              </w:rPr>
              <w:t>Azija i Pacifik</w:t>
            </w:r>
          </w:p>
        </w:tc>
        <w:tc>
          <w:tcPr>
            <w:tcW w:w="1120" w:type="dxa"/>
            <w:shd w:val="clear" w:color="000000" w:fill="FFFFFF"/>
            <w:vAlign w:val="center"/>
          </w:tcPr>
          <w:p w:rsidR="00432F3D" w:rsidRPr="00815464" w:rsidRDefault="00432F3D">
            <w:pPr>
              <w:jc w:val="center"/>
              <w:rPr>
                <w:rFonts w:ascii="Arial Narrow" w:hAnsi="Arial Narrow"/>
                <w:sz w:val="18"/>
                <w:szCs w:val="18"/>
              </w:rPr>
            </w:pPr>
            <w:r>
              <w:rPr>
                <w:rFonts w:ascii="Arial Narrow" w:hAnsi="Arial Narrow"/>
                <w:sz w:val="18"/>
                <w:szCs w:val="18"/>
              </w:rPr>
              <w:t>97,1</w:t>
            </w:r>
          </w:p>
        </w:tc>
        <w:tc>
          <w:tcPr>
            <w:tcW w:w="1120" w:type="dxa"/>
            <w:shd w:val="clear" w:color="000000" w:fill="CCD1DD"/>
            <w:vAlign w:val="center"/>
          </w:tcPr>
          <w:p w:rsidR="00432F3D" w:rsidRPr="00815464" w:rsidRDefault="00432F3D">
            <w:pPr>
              <w:jc w:val="center"/>
              <w:rPr>
                <w:rFonts w:ascii="Arial Narrow" w:hAnsi="Arial Narrow"/>
                <w:sz w:val="18"/>
                <w:szCs w:val="18"/>
              </w:rPr>
            </w:pPr>
            <w:r>
              <w:rPr>
                <w:rFonts w:ascii="Arial Narrow" w:hAnsi="Arial Narrow"/>
                <w:sz w:val="18"/>
                <w:szCs w:val="18"/>
              </w:rPr>
              <w:t>121,3</w:t>
            </w:r>
          </w:p>
        </w:tc>
        <w:tc>
          <w:tcPr>
            <w:tcW w:w="1292" w:type="dxa"/>
            <w:shd w:val="clear" w:color="000000" w:fill="FFFFFF"/>
            <w:vAlign w:val="center"/>
          </w:tcPr>
          <w:p w:rsidR="00432F3D" w:rsidRPr="00815464" w:rsidRDefault="00432F3D">
            <w:pPr>
              <w:jc w:val="center"/>
              <w:rPr>
                <w:rFonts w:ascii="Arial Narrow" w:hAnsi="Arial Narrow"/>
                <w:sz w:val="18"/>
                <w:szCs w:val="18"/>
              </w:rPr>
            </w:pPr>
            <w:r>
              <w:rPr>
                <w:rFonts w:ascii="Arial Narrow" w:hAnsi="Arial Narrow"/>
                <w:sz w:val="18"/>
                <w:szCs w:val="18"/>
              </w:rPr>
              <w:t>+25,0%</w:t>
            </w:r>
          </w:p>
        </w:tc>
        <w:tc>
          <w:tcPr>
            <w:tcW w:w="1057" w:type="dxa"/>
            <w:shd w:val="clear" w:color="000000" w:fill="FFFFFF"/>
            <w:vAlign w:val="center"/>
          </w:tcPr>
          <w:p w:rsidR="00432F3D" w:rsidRPr="00815464" w:rsidRDefault="00432F3D">
            <w:pPr>
              <w:jc w:val="center"/>
              <w:rPr>
                <w:rFonts w:ascii="Arial Narrow" w:hAnsi="Arial Narrow"/>
                <w:sz w:val="18"/>
                <w:szCs w:val="18"/>
              </w:rPr>
            </w:pPr>
            <w:r>
              <w:rPr>
                <w:rFonts w:ascii="Arial Narrow" w:hAnsi="Arial Narrow"/>
                <w:sz w:val="18"/>
                <w:szCs w:val="18"/>
              </w:rPr>
              <w:t>+10,8%</w:t>
            </w:r>
          </w:p>
        </w:tc>
      </w:tr>
      <w:tr w:rsidR="00432F3D" w:rsidRPr="00D67205" w:rsidTr="00ED2BBE">
        <w:trPr>
          <w:trHeight w:val="255"/>
        </w:trPr>
        <w:tc>
          <w:tcPr>
            <w:tcW w:w="2835" w:type="dxa"/>
            <w:shd w:val="clear" w:color="auto" w:fill="auto"/>
            <w:vAlign w:val="center"/>
            <w:hideMark/>
          </w:tcPr>
          <w:p w:rsidR="00432F3D" w:rsidRPr="00D67205" w:rsidRDefault="00432F3D" w:rsidP="00AB7FBA">
            <w:pPr>
              <w:widowControl/>
              <w:rPr>
                <w:rFonts w:ascii="Arial Narrow" w:eastAsia="Times New Roman" w:hAnsi="Arial Narrow" w:cs="Times New Roman"/>
                <w:color w:val="000000"/>
                <w:sz w:val="18"/>
                <w:szCs w:val="18"/>
              </w:rPr>
            </w:pPr>
            <w:r>
              <w:rPr>
                <w:rFonts w:ascii="Arial Narrow" w:eastAsia="Times New Roman" w:hAnsi="Arial Narrow" w:cs="Arial"/>
                <w:color w:val="000000"/>
                <w:sz w:val="18"/>
                <w:szCs w:val="18"/>
              </w:rPr>
              <w:t>Latinska Amerika</w:t>
            </w:r>
          </w:p>
        </w:tc>
        <w:tc>
          <w:tcPr>
            <w:tcW w:w="1120" w:type="dxa"/>
            <w:shd w:val="clear" w:color="000000" w:fill="FFFFFF"/>
            <w:noWrap/>
            <w:vAlign w:val="center"/>
          </w:tcPr>
          <w:p w:rsidR="00432F3D" w:rsidRPr="00815464" w:rsidRDefault="00432F3D">
            <w:pPr>
              <w:jc w:val="center"/>
              <w:rPr>
                <w:rFonts w:ascii="Arial Narrow" w:hAnsi="Arial Narrow"/>
                <w:sz w:val="18"/>
                <w:szCs w:val="18"/>
              </w:rPr>
            </w:pPr>
            <w:r>
              <w:rPr>
                <w:rFonts w:ascii="Arial Narrow" w:hAnsi="Arial Narrow"/>
                <w:sz w:val="18"/>
                <w:szCs w:val="18"/>
              </w:rPr>
              <w:t>76,1</w:t>
            </w:r>
          </w:p>
        </w:tc>
        <w:tc>
          <w:tcPr>
            <w:tcW w:w="1120" w:type="dxa"/>
            <w:shd w:val="clear" w:color="000000" w:fill="CCD1DD"/>
            <w:noWrap/>
            <w:vAlign w:val="center"/>
          </w:tcPr>
          <w:p w:rsidR="00432F3D" w:rsidRPr="00815464" w:rsidRDefault="00432F3D">
            <w:pPr>
              <w:jc w:val="center"/>
              <w:rPr>
                <w:rFonts w:ascii="Arial Narrow" w:hAnsi="Arial Narrow"/>
                <w:sz w:val="18"/>
                <w:szCs w:val="18"/>
              </w:rPr>
            </w:pPr>
            <w:r>
              <w:rPr>
                <w:rFonts w:ascii="Arial Narrow" w:hAnsi="Arial Narrow"/>
                <w:sz w:val="18"/>
                <w:szCs w:val="18"/>
              </w:rPr>
              <w:t>83,5</w:t>
            </w:r>
          </w:p>
        </w:tc>
        <w:tc>
          <w:tcPr>
            <w:tcW w:w="1292" w:type="dxa"/>
            <w:shd w:val="clear" w:color="000000" w:fill="FFFFFF"/>
            <w:vAlign w:val="center"/>
          </w:tcPr>
          <w:p w:rsidR="00432F3D" w:rsidRPr="00815464" w:rsidRDefault="00432F3D">
            <w:pPr>
              <w:jc w:val="center"/>
              <w:rPr>
                <w:rFonts w:ascii="Arial Narrow" w:hAnsi="Arial Narrow"/>
                <w:sz w:val="18"/>
                <w:szCs w:val="18"/>
              </w:rPr>
            </w:pPr>
            <w:r>
              <w:rPr>
                <w:rFonts w:ascii="Arial Narrow" w:hAnsi="Arial Narrow"/>
                <w:sz w:val="18"/>
                <w:szCs w:val="18"/>
              </w:rPr>
              <w:t>+9,6%</w:t>
            </w:r>
          </w:p>
        </w:tc>
        <w:tc>
          <w:tcPr>
            <w:tcW w:w="1057" w:type="dxa"/>
            <w:shd w:val="clear" w:color="000000" w:fill="FFFFFF"/>
            <w:vAlign w:val="center"/>
          </w:tcPr>
          <w:p w:rsidR="00432F3D" w:rsidRPr="00815464" w:rsidRDefault="00432F3D">
            <w:pPr>
              <w:jc w:val="center"/>
              <w:rPr>
                <w:rFonts w:ascii="Arial Narrow" w:hAnsi="Arial Narrow"/>
                <w:sz w:val="18"/>
                <w:szCs w:val="18"/>
              </w:rPr>
            </w:pPr>
            <w:r>
              <w:rPr>
                <w:rFonts w:ascii="Arial Narrow" w:hAnsi="Arial Narrow"/>
                <w:sz w:val="18"/>
                <w:szCs w:val="18"/>
              </w:rPr>
              <w:t>+16,7%</w:t>
            </w:r>
          </w:p>
        </w:tc>
      </w:tr>
      <w:tr w:rsidR="00432F3D" w:rsidRPr="00D67205" w:rsidTr="002E7FC1">
        <w:trPr>
          <w:trHeight w:val="255"/>
        </w:trPr>
        <w:tc>
          <w:tcPr>
            <w:tcW w:w="2835" w:type="dxa"/>
            <w:shd w:val="clear" w:color="000000" w:fill="61B57C"/>
            <w:vAlign w:val="center"/>
            <w:hideMark/>
          </w:tcPr>
          <w:p w:rsidR="00432F3D" w:rsidRPr="00D67205" w:rsidRDefault="00432F3D" w:rsidP="00AB7FBA">
            <w:pPr>
              <w:widowControl/>
              <w:rPr>
                <w:rFonts w:ascii="Arial Narrow" w:eastAsia="Times New Roman" w:hAnsi="Arial Narrow" w:cs="Times New Roman"/>
                <w:b/>
                <w:bCs/>
                <w:color w:val="FFFFFF"/>
                <w:sz w:val="18"/>
                <w:szCs w:val="18"/>
              </w:rPr>
            </w:pPr>
            <w:r>
              <w:rPr>
                <w:rFonts w:ascii="Arial Narrow" w:eastAsia="Times New Roman" w:hAnsi="Arial Narrow" w:cs="Times New Roman"/>
                <w:b/>
                <w:bCs/>
                <w:color w:val="FFFFFF"/>
                <w:sz w:val="18"/>
                <w:szCs w:val="18"/>
              </w:rPr>
              <w:t>Konsolidovani promet</w:t>
            </w:r>
          </w:p>
        </w:tc>
        <w:tc>
          <w:tcPr>
            <w:tcW w:w="1120" w:type="dxa"/>
            <w:shd w:val="clear" w:color="000000" w:fill="61B57C"/>
            <w:vAlign w:val="center"/>
          </w:tcPr>
          <w:p w:rsidR="00432F3D" w:rsidRPr="00815464" w:rsidRDefault="00432F3D" w:rsidP="00DB6AE8">
            <w:pPr>
              <w:jc w:val="center"/>
              <w:rPr>
                <w:rFonts w:ascii="Arial Narrow" w:hAnsi="Arial Narrow"/>
                <w:b/>
                <w:bCs/>
                <w:color w:val="FFFFFF"/>
                <w:sz w:val="18"/>
                <w:szCs w:val="18"/>
              </w:rPr>
            </w:pPr>
            <w:r>
              <w:rPr>
                <w:rFonts w:ascii="Arial Narrow" w:hAnsi="Arial Narrow"/>
                <w:b/>
                <w:bCs/>
                <w:color w:val="FFFFFF"/>
                <w:sz w:val="18"/>
                <w:szCs w:val="18"/>
              </w:rPr>
              <w:t>1 440,5</w:t>
            </w:r>
          </w:p>
        </w:tc>
        <w:tc>
          <w:tcPr>
            <w:tcW w:w="1120" w:type="dxa"/>
            <w:shd w:val="clear" w:color="000000" w:fill="61B57C"/>
            <w:vAlign w:val="center"/>
          </w:tcPr>
          <w:p w:rsidR="00432F3D" w:rsidRPr="00815464" w:rsidRDefault="00432F3D">
            <w:pPr>
              <w:jc w:val="center"/>
              <w:rPr>
                <w:rFonts w:ascii="Arial Narrow" w:hAnsi="Arial Narrow"/>
                <w:b/>
                <w:bCs/>
                <w:color w:val="FFFFFF"/>
                <w:sz w:val="18"/>
                <w:szCs w:val="18"/>
              </w:rPr>
            </w:pPr>
            <w:r>
              <w:rPr>
                <w:rFonts w:ascii="Arial Narrow" w:hAnsi="Arial Narrow"/>
                <w:b/>
                <w:bCs/>
                <w:color w:val="FFFFFF"/>
                <w:sz w:val="18"/>
                <w:szCs w:val="18"/>
              </w:rPr>
              <w:t>1 489,5</w:t>
            </w:r>
          </w:p>
        </w:tc>
        <w:tc>
          <w:tcPr>
            <w:tcW w:w="1292" w:type="dxa"/>
            <w:shd w:val="clear" w:color="000000" w:fill="61B57C"/>
            <w:vAlign w:val="center"/>
          </w:tcPr>
          <w:p w:rsidR="00432F3D" w:rsidRPr="00815464" w:rsidRDefault="00432F3D">
            <w:pPr>
              <w:jc w:val="center"/>
              <w:rPr>
                <w:rFonts w:ascii="Arial Narrow" w:hAnsi="Arial Narrow"/>
                <w:b/>
                <w:bCs/>
                <w:color w:val="FFFFFF"/>
                <w:sz w:val="18"/>
                <w:szCs w:val="18"/>
              </w:rPr>
            </w:pPr>
            <w:r>
              <w:rPr>
                <w:rFonts w:ascii="Arial Narrow" w:hAnsi="Arial Narrow"/>
                <w:b/>
                <w:bCs/>
                <w:color w:val="FFFFFF"/>
                <w:sz w:val="18"/>
                <w:szCs w:val="18"/>
              </w:rPr>
              <w:t>+3,4%</w:t>
            </w:r>
          </w:p>
        </w:tc>
        <w:tc>
          <w:tcPr>
            <w:tcW w:w="1057" w:type="dxa"/>
            <w:shd w:val="clear" w:color="000000" w:fill="61B57C"/>
            <w:vAlign w:val="center"/>
          </w:tcPr>
          <w:p w:rsidR="00432F3D" w:rsidRPr="00815464" w:rsidRDefault="00432F3D">
            <w:pPr>
              <w:jc w:val="center"/>
              <w:rPr>
                <w:rFonts w:ascii="Arial Narrow" w:hAnsi="Arial Narrow"/>
                <w:b/>
                <w:bCs/>
                <w:color w:val="FFFFFF"/>
                <w:sz w:val="18"/>
                <w:szCs w:val="18"/>
              </w:rPr>
            </w:pPr>
            <w:r>
              <w:rPr>
                <w:rFonts w:ascii="Arial Narrow" w:hAnsi="Arial Narrow"/>
                <w:b/>
                <w:bCs/>
                <w:color w:val="FFFFFF"/>
                <w:sz w:val="18"/>
                <w:szCs w:val="18"/>
              </w:rPr>
              <w:t>+1,2%</w:t>
            </w:r>
          </w:p>
        </w:tc>
      </w:tr>
    </w:tbl>
    <w:p w:rsidR="00A75A35" w:rsidRPr="004B1794" w:rsidRDefault="00A75A35" w:rsidP="00A75A35">
      <w:pPr>
        <w:pStyle w:val="Textedesaisie"/>
        <w:suppressAutoHyphens/>
        <w:spacing w:line="270" w:lineRule="exact"/>
        <w:rPr>
          <w:rFonts w:cs="Arial"/>
          <w:bCs/>
          <w:sz w:val="18"/>
        </w:rPr>
      </w:pPr>
    </w:p>
    <w:p w:rsidR="00ED352E" w:rsidRPr="00141E28" w:rsidRDefault="00DD28D9" w:rsidP="001B38AB">
      <w:pPr>
        <w:pStyle w:val="Textedesaisie"/>
        <w:suppressAutoHyphens/>
        <w:spacing w:line="270" w:lineRule="exact"/>
      </w:pPr>
      <w:r>
        <w:t xml:space="preserve">Rast prometa Grupe podržala su tržišta u razvoju. U Sredinjenim Državama, reorganizacija cele mreže agencija u zemlji objašnjava smanjenje učinka. Na razvijenim tržištima, gde je profitabilnost ugovora veća, konkurencija je ostala oštra i izvršila pritisak na cene. </w:t>
      </w:r>
    </w:p>
    <w:p w:rsidR="00D12858" w:rsidRDefault="00D12858" w:rsidP="001B38AB">
      <w:pPr>
        <w:pStyle w:val="Textedesaisie"/>
        <w:suppressAutoHyphens/>
        <w:spacing w:line="270" w:lineRule="exact"/>
        <w:rPr>
          <w:sz w:val="19"/>
          <w:szCs w:val="19"/>
        </w:rPr>
      </w:pPr>
    </w:p>
    <w:p w:rsidR="00D12858" w:rsidRPr="00432F3D" w:rsidRDefault="00D12858" w:rsidP="00A75A35">
      <w:pPr>
        <w:pStyle w:val="Textedesaisie"/>
        <w:suppressAutoHyphens/>
        <w:spacing w:line="270" w:lineRule="exact"/>
        <w:rPr>
          <w:sz w:val="19"/>
          <w:szCs w:val="19"/>
        </w:rPr>
      </w:pPr>
    </w:p>
    <w:p w:rsidR="00A75A35" w:rsidRPr="00B4308D" w:rsidRDefault="00DD28D9" w:rsidP="00A75A35">
      <w:pPr>
        <w:numPr>
          <w:ilvl w:val="0"/>
          <w:numId w:val="3"/>
        </w:numPr>
        <w:suppressAutoHyphens/>
        <w:spacing w:line="270" w:lineRule="exact"/>
        <w:rPr>
          <w:rFonts w:ascii="Arial" w:hAnsi="Arial" w:cs="Arial"/>
          <w:b/>
          <w:bCs/>
          <w:color w:val="000000"/>
          <w:sz w:val="20"/>
          <w:szCs w:val="20"/>
        </w:rPr>
      </w:pPr>
      <w:r>
        <w:rPr>
          <w:rFonts w:ascii="Arial" w:hAnsi="Arial" w:cs="Arial"/>
          <w:b/>
          <w:bCs/>
          <w:color w:val="000000"/>
          <w:sz w:val="20"/>
          <w:szCs w:val="20"/>
        </w:rPr>
        <w:t>Rezultati</w:t>
      </w:r>
    </w:p>
    <w:p w:rsidR="00A75A35" w:rsidRPr="00141E28" w:rsidRDefault="00A75A35" w:rsidP="00A75A35">
      <w:pPr>
        <w:pStyle w:val="ListParagraph"/>
        <w:suppressAutoHyphens/>
        <w:spacing w:after="60" w:line="270" w:lineRule="exact"/>
        <w:ind w:left="714"/>
        <w:jc w:val="both"/>
        <w:rPr>
          <w:rFonts w:ascii="Arial" w:hAnsi="Arial" w:cs="Arial"/>
          <w:sz w:val="20"/>
          <w:szCs w:val="20"/>
        </w:rPr>
      </w:pPr>
    </w:p>
    <w:p w:rsidR="00A75A35" w:rsidRPr="00141E28" w:rsidRDefault="00DD28D9" w:rsidP="00A75A35">
      <w:pPr>
        <w:pStyle w:val="ListParagraph"/>
        <w:numPr>
          <w:ilvl w:val="0"/>
          <w:numId w:val="4"/>
        </w:numPr>
        <w:suppressAutoHyphens/>
        <w:spacing w:after="60" w:line="270" w:lineRule="exact"/>
        <w:ind w:left="714" w:hanging="357"/>
        <w:jc w:val="both"/>
        <w:rPr>
          <w:rFonts w:ascii="Arial" w:hAnsi="Arial" w:cs="Arial"/>
          <w:sz w:val="20"/>
          <w:szCs w:val="20"/>
        </w:rPr>
      </w:pPr>
      <w:r>
        <w:rPr>
          <w:rFonts w:ascii="Arial" w:hAnsi="Arial" w:cs="Arial"/>
          <w:sz w:val="20"/>
          <w:szCs w:val="20"/>
        </w:rPr>
        <w:t>Kombinovani racio</w:t>
      </w:r>
    </w:p>
    <w:p w:rsidR="00B122E6" w:rsidRPr="00141E28" w:rsidRDefault="00C72256" w:rsidP="00141E28">
      <w:pPr>
        <w:suppressAutoHyphens/>
        <w:spacing w:line="270" w:lineRule="exact"/>
        <w:jc w:val="both"/>
        <w:rPr>
          <w:rFonts w:ascii="Arial" w:hAnsi="Arial" w:cs="Arial"/>
          <w:bCs/>
          <w:sz w:val="20"/>
          <w:szCs w:val="20"/>
        </w:rPr>
      </w:pPr>
      <w:r>
        <w:rPr>
          <w:rFonts w:ascii="Arial" w:hAnsi="Arial" w:cs="Arial"/>
          <w:sz w:val="20"/>
          <w:szCs w:val="20"/>
        </w:rPr>
        <w:t>Racio šteta Grupe nakon reosiguranja iznosio je 52,5%; stabilizovao se tokom proteklih šest meseci, kao rezultat smanjenja izloženosti najugroženijim kompanijama i sektorima. Tokom tog perioda Coface je nastavio sa smanjivanjem pokrivenosti, naročito na tržištima u razvoju, a efekti ovog pristupa se postepeno materijalizuju, u zavisnosti od platežnog ponašanja.</w:t>
      </w:r>
    </w:p>
    <w:p w:rsidR="00BA1118" w:rsidRPr="00141E28" w:rsidRDefault="00BA1118" w:rsidP="00141E28">
      <w:pPr>
        <w:suppressAutoHyphens/>
        <w:spacing w:line="270" w:lineRule="exact"/>
        <w:jc w:val="both"/>
        <w:rPr>
          <w:rFonts w:ascii="Arial" w:hAnsi="Arial" w:cs="Arial"/>
          <w:bCs/>
          <w:sz w:val="20"/>
          <w:szCs w:val="20"/>
        </w:rPr>
      </w:pPr>
    </w:p>
    <w:p w:rsidR="002F6E40" w:rsidRPr="00141E28" w:rsidRDefault="00BA1118" w:rsidP="00141E28">
      <w:pPr>
        <w:suppressAutoHyphens/>
        <w:spacing w:line="270" w:lineRule="exact"/>
        <w:jc w:val="both"/>
        <w:rPr>
          <w:rFonts w:ascii="Arial" w:hAnsi="Arial" w:cs="Arial"/>
          <w:bCs/>
          <w:sz w:val="20"/>
          <w:szCs w:val="20"/>
        </w:rPr>
      </w:pPr>
      <w:r>
        <w:rPr>
          <w:rFonts w:ascii="Arial" w:hAnsi="Arial" w:cs="Arial"/>
          <w:sz w:val="20"/>
          <w:szCs w:val="20"/>
        </w:rPr>
        <w:t>Interni opšti troškovi ostali su pod kontrolom: ne uključujući vanredne stavke</w:t>
      </w:r>
      <w:r>
        <w:rPr>
          <w:rFonts w:ascii="Arial" w:hAnsi="Arial" w:cs="Arial"/>
          <w:sz w:val="20"/>
          <w:szCs w:val="20"/>
          <w:vertAlign w:val="superscript"/>
        </w:rPr>
        <w:t>3</w:t>
      </w:r>
      <w:r>
        <w:rPr>
          <w:rFonts w:ascii="Arial" w:hAnsi="Arial" w:cs="Arial"/>
          <w:sz w:val="20"/>
          <w:szCs w:val="20"/>
        </w:rPr>
        <w:t xml:space="preserve"> one su se smanjile za 1,8% uz nepromenjeni obim aktivnosti i devizni kurs (-0,5% uz trenutni obim aktivnosti i devizni kurs), što je značajno niži nivo nego rast premija, koji je veći za 2,0% (+4,7% uz nepromenjeni obim aktivnosti i devizni kurs). Troškovi raspodele rasli su brže nego premije u 2015. godini, pre svega zbog snažnijeg rasta prometa u regionima u kojima su ugovori komercijalizovani preko posrednika ili partnera. Racio troškova nakon reosiguranja bio je 30,5 % na dan 31. decembra 2015. godine i 29,5% bez efekata kursa i vanrednih stavki, što je povećanje od 0,2 poena u odnosu na 31. decembar 2014.</w:t>
      </w:r>
    </w:p>
    <w:p w:rsidR="009E21F0" w:rsidRPr="00141E28" w:rsidRDefault="009E21F0" w:rsidP="00085F25">
      <w:pPr>
        <w:suppressAutoHyphens/>
        <w:spacing w:after="60" w:line="270" w:lineRule="exact"/>
        <w:jc w:val="both"/>
        <w:rPr>
          <w:rFonts w:ascii="Arial" w:hAnsi="Arial" w:cs="Arial"/>
          <w:bCs/>
          <w:sz w:val="20"/>
          <w:szCs w:val="20"/>
        </w:rPr>
      </w:pPr>
    </w:p>
    <w:p w:rsidR="009E21F0" w:rsidRPr="00141E28" w:rsidRDefault="00765BF8" w:rsidP="00141E28">
      <w:pPr>
        <w:suppressAutoHyphens/>
        <w:spacing w:line="270" w:lineRule="exact"/>
        <w:jc w:val="both"/>
        <w:rPr>
          <w:rFonts w:ascii="Arial" w:hAnsi="Arial" w:cs="Arial"/>
          <w:sz w:val="20"/>
          <w:szCs w:val="20"/>
        </w:rPr>
      </w:pPr>
      <w:r>
        <w:rPr>
          <w:rFonts w:ascii="Arial" w:hAnsi="Arial" w:cs="Arial"/>
          <w:sz w:val="20"/>
          <w:szCs w:val="20"/>
        </w:rPr>
        <w:t xml:space="preserve">Ukupno, kombinovani racio iznosio je 83,1% na dan 31. decembra 2015. godine, što čini povećanje od 3,4 poena u poređenju sa 31. decembrom 2014. godine, i odraz je pogoršanja u makroekonomskom okruženju tokom prošle godine. </w:t>
      </w:r>
    </w:p>
    <w:p w:rsidR="00BA1118" w:rsidRPr="00141E28" w:rsidRDefault="00BA1118" w:rsidP="00141E28">
      <w:pPr>
        <w:suppressAutoHyphens/>
        <w:spacing w:line="270" w:lineRule="exact"/>
        <w:jc w:val="both"/>
        <w:rPr>
          <w:rFonts w:ascii="Arial" w:hAnsi="Arial" w:cs="Arial"/>
          <w:sz w:val="20"/>
          <w:szCs w:val="20"/>
        </w:rPr>
      </w:pPr>
    </w:p>
    <w:p w:rsidR="00A75A35" w:rsidRPr="00141E28" w:rsidRDefault="00765BF8" w:rsidP="00141E28">
      <w:pPr>
        <w:pStyle w:val="ListParagraph"/>
        <w:numPr>
          <w:ilvl w:val="0"/>
          <w:numId w:val="4"/>
        </w:numPr>
        <w:suppressAutoHyphens/>
        <w:spacing w:line="270" w:lineRule="exact"/>
        <w:ind w:left="714" w:hanging="357"/>
        <w:jc w:val="both"/>
        <w:rPr>
          <w:rFonts w:ascii="Arial" w:hAnsi="Arial" w:cs="Arial"/>
          <w:sz w:val="20"/>
          <w:szCs w:val="20"/>
        </w:rPr>
      </w:pPr>
      <w:r>
        <w:rPr>
          <w:rFonts w:ascii="Arial" w:hAnsi="Arial" w:cs="Arial"/>
          <w:sz w:val="20"/>
          <w:szCs w:val="20"/>
        </w:rPr>
        <w:t>Finansijski prihod</w:t>
      </w:r>
    </w:p>
    <w:p w:rsidR="00085F25" w:rsidRPr="00141E28" w:rsidRDefault="00765BF8" w:rsidP="00141E28">
      <w:pPr>
        <w:suppressAutoHyphens/>
        <w:spacing w:line="270" w:lineRule="exact"/>
        <w:jc w:val="both"/>
        <w:rPr>
          <w:rFonts w:ascii="Arial" w:hAnsi="Arial" w:cs="Arial"/>
          <w:sz w:val="20"/>
          <w:szCs w:val="20"/>
        </w:rPr>
      </w:pPr>
      <w:r>
        <w:rPr>
          <w:rFonts w:ascii="Arial" w:hAnsi="Arial" w:cs="Arial"/>
          <w:sz w:val="20"/>
          <w:szCs w:val="20"/>
        </w:rPr>
        <w:t>Zahvaljujući diversifikaciji finansijskog portfolija, ilustrovano ulaganjima u nekotirane panevropske fondove nekretnina, finansijski prihod</w:t>
      </w:r>
      <w:r>
        <w:rPr>
          <w:rFonts w:ascii="Arial" w:hAnsi="Arial" w:cs="Arial"/>
          <w:sz w:val="20"/>
          <w:szCs w:val="20"/>
          <w:vertAlign w:val="superscript"/>
        </w:rPr>
        <w:t>4</w:t>
      </w:r>
      <w:r>
        <w:rPr>
          <w:rFonts w:ascii="Arial" w:hAnsi="Arial" w:cs="Arial"/>
          <w:sz w:val="20"/>
          <w:szCs w:val="20"/>
        </w:rPr>
        <w:t xml:space="preserve"> iznosio je 53,1M € (od kojih je 4,5M € eksternalizacija kapitalnih dobitaka) na dan 31. decembra 2015. godine, naspram 42,8M € (od kojih je 8,4M € eksternalizacija kapitalnih dobitaka) u 2014. godini. </w:t>
      </w:r>
    </w:p>
    <w:p w:rsidR="00A33456" w:rsidRPr="00141E28" w:rsidRDefault="00A33456" w:rsidP="00141E28">
      <w:pPr>
        <w:suppressAutoHyphens/>
        <w:spacing w:line="270" w:lineRule="exact"/>
        <w:jc w:val="both"/>
        <w:rPr>
          <w:rFonts w:ascii="Arial" w:hAnsi="Arial" w:cs="Arial"/>
          <w:sz w:val="20"/>
          <w:szCs w:val="20"/>
        </w:rPr>
      </w:pPr>
    </w:p>
    <w:p w:rsidR="00A75A35" w:rsidRPr="00141E28" w:rsidRDefault="00765BF8" w:rsidP="00141E28">
      <w:pPr>
        <w:pStyle w:val="ListParagraph"/>
        <w:numPr>
          <w:ilvl w:val="0"/>
          <w:numId w:val="4"/>
        </w:numPr>
        <w:suppressAutoHyphens/>
        <w:spacing w:line="270" w:lineRule="exact"/>
        <w:ind w:left="714" w:hanging="357"/>
        <w:jc w:val="both"/>
        <w:rPr>
          <w:rFonts w:ascii="Arial" w:hAnsi="Arial" w:cs="Arial"/>
          <w:sz w:val="20"/>
          <w:szCs w:val="20"/>
        </w:rPr>
      </w:pPr>
      <w:r>
        <w:rPr>
          <w:rFonts w:ascii="Arial" w:hAnsi="Arial" w:cs="Arial"/>
          <w:sz w:val="20"/>
          <w:szCs w:val="20"/>
        </w:rPr>
        <w:t>Operativni prihod i neto prihod</w:t>
      </w:r>
    </w:p>
    <w:p w:rsidR="006B6CCC" w:rsidRPr="00141E28" w:rsidRDefault="00765BF8" w:rsidP="00141E28">
      <w:pPr>
        <w:suppressAutoHyphens/>
        <w:spacing w:line="270" w:lineRule="exact"/>
        <w:jc w:val="both"/>
        <w:rPr>
          <w:rFonts w:ascii="Arial" w:hAnsi="Arial" w:cs="Arial"/>
          <w:sz w:val="20"/>
          <w:szCs w:val="20"/>
        </w:rPr>
      </w:pPr>
      <w:r>
        <w:rPr>
          <w:rFonts w:ascii="Arial" w:hAnsi="Arial" w:cs="Arial"/>
          <w:sz w:val="20"/>
          <w:szCs w:val="20"/>
        </w:rPr>
        <w:t>Izuzimajući korigovane stavke, operativni prihod</w:t>
      </w:r>
      <w:r>
        <w:rPr>
          <w:rFonts w:ascii="Arial" w:hAnsi="Arial" w:cs="Arial"/>
          <w:sz w:val="20"/>
          <w:szCs w:val="20"/>
          <w:vertAlign w:val="superscript"/>
        </w:rPr>
        <w:t>2</w:t>
      </w:r>
      <w:r>
        <w:rPr>
          <w:rFonts w:ascii="Arial" w:hAnsi="Arial" w:cs="Arial"/>
          <w:sz w:val="20"/>
          <w:szCs w:val="20"/>
        </w:rPr>
        <w:t>iznosio je 194,1M €, a neto prihod (udeo grupe)</w:t>
      </w:r>
      <w:r>
        <w:rPr>
          <w:rFonts w:ascii="Arial" w:hAnsi="Arial" w:cs="Arial"/>
          <w:sz w:val="20"/>
          <w:szCs w:val="20"/>
          <w:vertAlign w:val="superscript"/>
        </w:rPr>
        <w:t>2</w:t>
      </w:r>
      <w:r>
        <w:rPr>
          <w:rFonts w:ascii="Arial" w:hAnsi="Arial" w:cs="Arial"/>
          <w:sz w:val="20"/>
          <w:szCs w:val="20"/>
        </w:rPr>
        <w:t xml:space="preserve"> 140,9M €. </w:t>
      </w:r>
    </w:p>
    <w:p w:rsidR="00A33456" w:rsidRPr="00141E28" w:rsidRDefault="00765BF8" w:rsidP="00141E28">
      <w:pPr>
        <w:suppressAutoHyphens/>
        <w:spacing w:line="270" w:lineRule="exact"/>
        <w:jc w:val="both"/>
        <w:rPr>
          <w:rFonts w:ascii="Arial" w:hAnsi="Arial" w:cs="Arial"/>
          <w:sz w:val="20"/>
          <w:szCs w:val="20"/>
        </w:rPr>
      </w:pPr>
      <w:r>
        <w:rPr>
          <w:rFonts w:ascii="Arial" w:hAnsi="Arial" w:cs="Arial"/>
          <w:color w:val="000000"/>
          <w:sz w:val="20"/>
          <w:szCs w:val="20"/>
        </w:rPr>
        <w:t>Na osnovu neto prihoda po akciji od 0,80 €, biće predložena dividenda</w:t>
      </w:r>
      <w:r>
        <w:rPr>
          <w:rFonts w:ascii="Arial" w:hAnsi="Arial" w:cs="Arial"/>
          <w:color w:val="000000"/>
          <w:sz w:val="20"/>
          <w:szCs w:val="20"/>
          <w:vertAlign w:val="superscript"/>
        </w:rPr>
        <w:t>5</w:t>
      </w:r>
      <w:r>
        <w:rPr>
          <w:rFonts w:ascii="Arial" w:hAnsi="Arial" w:cs="Arial"/>
          <w:color w:val="000000"/>
          <w:sz w:val="20"/>
          <w:szCs w:val="20"/>
        </w:rPr>
        <w:t xml:space="preserve"> od 0,48 € po akciji za 2015. godinu, što je stabilan iznos u odnosu na 2014.</w:t>
      </w:r>
    </w:p>
    <w:p w:rsidR="00A33456" w:rsidRPr="00141E28" w:rsidRDefault="00A33456" w:rsidP="00A75A35">
      <w:pPr>
        <w:suppressAutoHyphens/>
        <w:spacing w:after="60" w:line="270" w:lineRule="exact"/>
        <w:jc w:val="both"/>
        <w:rPr>
          <w:rFonts w:ascii="Arial" w:hAnsi="Arial" w:cs="Arial"/>
          <w:sz w:val="20"/>
          <w:szCs w:val="20"/>
        </w:rPr>
      </w:pPr>
    </w:p>
    <w:p w:rsidR="00A75A35" w:rsidRPr="00B4308D" w:rsidRDefault="00DF2015" w:rsidP="00A75A35">
      <w:pPr>
        <w:numPr>
          <w:ilvl w:val="0"/>
          <w:numId w:val="3"/>
        </w:numPr>
        <w:suppressAutoHyphens/>
        <w:spacing w:line="270" w:lineRule="exact"/>
        <w:rPr>
          <w:rFonts w:ascii="Arial" w:hAnsi="Arial" w:cs="Arial"/>
          <w:b/>
          <w:bCs/>
          <w:sz w:val="20"/>
          <w:szCs w:val="20"/>
        </w:rPr>
      </w:pPr>
      <w:r>
        <w:rPr>
          <w:rFonts w:ascii="Arial" w:hAnsi="Arial" w:cs="Arial"/>
          <w:b/>
          <w:bCs/>
          <w:sz w:val="20"/>
          <w:szCs w:val="20"/>
        </w:rPr>
        <w:t>Finansijska stabilnost - Bonitet II</w:t>
      </w:r>
    </w:p>
    <w:p w:rsidR="00A75A35" w:rsidRPr="00141E28" w:rsidRDefault="00A75A35" w:rsidP="00A75A35">
      <w:pPr>
        <w:pStyle w:val="Textedesaisie"/>
        <w:suppressAutoHyphens/>
        <w:spacing w:line="270" w:lineRule="exact"/>
      </w:pPr>
    </w:p>
    <w:p w:rsidR="00F4640A" w:rsidRPr="00141E28" w:rsidRDefault="00DF2015">
      <w:pPr>
        <w:suppressAutoHyphens/>
        <w:spacing w:line="270" w:lineRule="exact"/>
        <w:jc w:val="both"/>
        <w:rPr>
          <w:rFonts w:ascii="Arial" w:hAnsi="Arial" w:cs="Arial"/>
          <w:bCs/>
          <w:color w:val="000000"/>
          <w:sz w:val="20"/>
          <w:szCs w:val="20"/>
        </w:rPr>
      </w:pPr>
      <w:r>
        <w:rPr>
          <w:rFonts w:ascii="Arial" w:hAnsi="Arial" w:cs="Arial"/>
          <w:color w:val="000000"/>
          <w:sz w:val="20"/>
          <w:szCs w:val="20"/>
        </w:rPr>
        <w:t xml:space="preserve">Na dan 31. decembra 2015. IFRS kapital (udeo grupe) iznosio je 1 760,9M €. Promena u kapitalu je uglavnom rezultat pozitivnog neto prihoda od 126,2M € nadoknađenog raspodelom 75,5M € akcionarima i smanjenjem rezervi ponovne procene finansijskih sredstava spremnih za prodaju. </w:t>
      </w:r>
    </w:p>
    <w:p w:rsidR="00FB78AE" w:rsidRPr="00141E28" w:rsidRDefault="00FB78AE">
      <w:pPr>
        <w:pStyle w:val="Textedesaisie"/>
        <w:suppressAutoHyphens/>
        <w:spacing w:line="270" w:lineRule="exact"/>
        <w:rPr>
          <w:rFonts w:eastAsia="MS Mincho" w:cs="Arial"/>
          <w:bCs/>
          <w:color w:val="000000"/>
        </w:rPr>
      </w:pPr>
    </w:p>
    <w:p w:rsidR="005F0260" w:rsidRPr="00141E28" w:rsidRDefault="00912A64">
      <w:pPr>
        <w:pStyle w:val="Textedesaisie"/>
        <w:suppressAutoHyphens/>
        <w:spacing w:line="270" w:lineRule="exact"/>
        <w:rPr>
          <w:rFonts w:eastAsia="MS Mincho" w:cs="Arial"/>
          <w:bCs/>
          <w:color w:val="000000"/>
        </w:rPr>
      </w:pPr>
      <w:r>
        <w:rPr>
          <w:rFonts w:eastAsia="MS Mincho" w:cs="Arial"/>
          <w:color w:val="000000"/>
        </w:rPr>
        <w:t>Coface je spreman za novi regulatorni okvir, Bonitet II, koji je stupio na snagu 1. januara 2016. U tom kontekstu, Coface planira da završi svoje alate za upravljanje kapitalom i namerava da uspostavi liniju uslovlnog kapitala u cilje zaštite svoje likvidnosti u slučaju ekstremnih okolnosti</w:t>
      </w:r>
      <w:r>
        <w:rPr>
          <w:rFonts w:eastAsia="MS Mincho" w:cs="Arial"/>
          <w:color w:val="000000"/>
          <w:vertAlign w:val="superscript"/>
        </w:rPr>
        <w:t>6</w:t>
      </w:r>
      <w:r>
        <w:rPr>
          <w:rFonts w:eastAsia="MS Mincho" w:cs="Arial"/>
          <w:color w:val="000000"/>
        </w:rPr>
        <w:t>.</w:t>
      </w:r>
    </w:p>
    <w:p w:rsidR="00647765" w:rsidRPr="00141E28" w:rsidRDefault="00DF2015">
      <w:pPr>
        <w:pStyle w:val="Textedesaisie"/>
        <w:suppressAutoHyphens/>
        <w:spacing w:line="270" w:lineRule="exact"/>
        <w:rPr>
          <w:rFonts w:eastAsia="MS Mincho" w:cs="Arial"/>
          <w:bCs/>
          <w:color w:val="000000"/>
        </w:rPr>
      </w:pPr>
      <w:r>
        <w:rPr>
          <w:rFonts w:eastAsia="MS Mincho" w:cs="Arial"/>
          <w:color w:val="000000"/>
        </w:rPr>
        <w:t>Izračunat na osnovu standardne formule, racio pokrića kapitala potrebnog za pokriće rizika osiguranja i faktoringa iznosi 147%</w:t>
      </w:r>
      <w:r>
        <w:rPr>
          <w:rFonts w:eastAsia="MS Mincho" w:cs="Arial"/>
          <w:color w:val="000000"/>
          <w:vertAlign w:val="superscript"/>
        </w:rPr>
        <w:t>7</w:t>
      </w:r>
      <w:r>
        <w:rPr>
          <w:rFonts w:eastAsia="MS Mincho" w:cs="Arial"/>
          <w:color w:val="000000"/>
        </w:rPr>
        <w:t>, što je nivo u skladu sa Grupinim apetitom za rizik i politikom isplate dividendi</w:t>
      </w:r>
      <w:r>
        <w:rPr>
          <w:rFonts w:eastAsia="MS Mincho" w:cs="Arial"/>
          <w:color w:val="000000"/>
          <w:vertAlign w:val="superscript"/>
        </w:rPr>
        <w:t>5</w:t>
      </w:r>
      <w:r>
        <w:rPr>
          <w:rFonts w:eastAsia="MS Mincho" w:cs="Arial"/>
          <w:color w:val="000000"/>
        </w:rPr>
        <w:t xml:space="preserve"> od 60% neto prihoda po akciji, opet predloženom ove godine.</w:t>
      </w:r>
    </w:p>
    <w:p w:rsidR="00FC4E64" w:rsidRPr="00141E28" w:rsidRDefault="00FC4E64">
      <w:pPr>
        <w:pStyle w:val="Textedesaisie"/>
        <w:suppressAutoHyphens/>
        <w:spacing w:line="270" w:lineRule="exact"/>
      </w:pPr>
    </w:p>
    <w:p w:rsidR="00FC4E64" w:rsidRPr="00141E28" w:rsidRDefault="00DF2015">
      <w:pPr>
        <w:pStyle w:val="Textedesaisie"/>
        <w:suppressAutoHyphens/>
        <w:spacing w:line="270" w:lineRule="exact"/>
      </w:pPr>
      <w:r>
        <w:t>Rejting agencije Fitch i Moody‘s potvrdile su ocene Grupe (IFS), prva za AA-, a druga za A2 (stabilni izgledi), 17. septembra i 13. oktobra 2015.</w:t>
      </w:r>
    </w:p>
    <w:p w:rsidR="00C010CA" w:rsidRPr="00141E28" w:rsidRDefault="00C010CA" w:rsidP="00647765">
      <w:pPr>
        <w:pStyle w:val="Textedesaisie"/>
        <w:suppressAutoHyphens/>
        <w:spacing w:line="270" w:lineRule="exact"/>
      </w:pPr>
    </w:p>
    <w:p w:rsidR="009E21F0" w:rsidRPr="00141E28" w:rsidRDefault="009E21F0" w:rsidP="00647765">
      <w:pPr>
        <w:pStyle w:val="Textedesaisie"/>
        <w:suppressAutoHyphens/>
        <w:spacing w:line="270" w:lineRule="exact"/>
      </w:pPr>
    </w:p>
    <w:p w:rsidR="00C010CA" w:rsidRPr="00B4308D" w:rsidRDefault="0043444E" w:rsidP="00C010CA">
      <w:pPr>
        <w:numPr>
          <w:ilvl w:val="0"/>
          <w:numId w:val="3"/>
        </w:numPr>
        <w:suppressAutoHyphens/>
        <w:spacing w:line="270" w:lineRule="exact"/>
        <w:rPr>
          <w:rFonts w:ascii="Arial" w:hAnsi="Arial" w:cs="Arial"/>
          <w:b/>
          <w:bCs/>
          <w:sz w:val="20"/>
          <w:szCs w:val="20"/>
        </w:rPr>
      </w:pPr>
      <w:r>
        <w:rPr>
          <w:rFonts w:ascii="Arial" w:hAnsi="Arial" w:cs="Arial"/>
          <w:b/>
          <w:bCs/>
          <w:sz w:val="20"/>
          <w:szCs w:val="20"/>
        </w:rPr>
        <w:t>Aktivnosti prenosa javnih garancija</w:t>
      </w:r>
    </w:p>
    <w:p w:rsidR="00C010CA" w:rsidRPr="00141E28" w:rsidRDefault="00C010CA" w:rsidP="00C95E56">
      <w:pPr>
        <w:suppressAutoHyphens/>
        <w:spacing w:line="270" w:lineRule="exact"/>
        <w:jc w:val="both"/>
        <w:rPr>
          <w:rFonts w:ascii="Arial" w:hAnsi="Arial" w:cs="Arial"/>
          <w:bCs/>
          <w:color w:val="000000"/>
          <w:sz w:val="20"/>
          <w:szCs w:val="20"/>
        </w:rPr>
      </w:pPr>
    </w:p>
    <w:p w:rsidR="00C010CA" w:rsidRPr="00141E28" w:rsidRDefault="00A651DC" w:rsidP="00C010CA">
      <w:pPr>
        <w:pStyle w:val="Textedesaisie"/>
        <w:suppressAutoHyphens/>
        <w:spacing w:line="270" w:lineRule="exact"/>
      </w:pPr>
      <w:r>
        <w:t>U toku su pripreme u Bpifrance za aktivnosti prenosa javnih garancija koji trenutno vrši Coface u ime francuske države. Prenos je podložan izmeni važećeg zakonskog i regulatornog okvira</w:t>
      </w:r>
      <w:r>
        <w:rPr>
          <w:vertAlign w:val="superscript"/>
        </w:rPr>
        <w:t>8</w:t>
      </w:r>
      <w:r>
        <w:t>, koji će stupiti na snagu dekretom. Francuska država će i dalje plaćati kompaniji Coface dok prenos ove aktivnosti ne stupi na snagu, na datum koji još nije poznat.</w:t>
      </w:r>
    </w:p>
    <w:p w:rsidR="00C010CA" w:rsidRPr="00141E28" w:rsidRDefault="00C010CA" w:rsidP="00647765">
      <w:pPr>
        <w:pStyle w:val="Textedesaisie"/>
        <w:suppressAutoHyphens/>
        <w:spacing w:line="270" w:lineRule="exact"/>
      </w:pPr>
    </w:p>
    <w:p w:rsidR="009E21F0" w:rsidRPr="00141E28" w:rsidRDefault="009E21F0" w:rsidP="00647765">
      <w:pPr>
        <w:pStyle w:val="Textedesaisie"/>
        <w:suppressAutoHyphens/>
        <w:spacing w:line="270" w:lineRule="exact"/>
      </w:pPr>
    </w:p>
    <w:p w:rsidR="00D936E4" w:rsidRPr="00B4308D" w:rsidRDefault="0043444E" w:rsidP="00C010CA">
      <w:pPr>
        <w:numPr>
          <w:ilvl w:val="0"/>
          <w:numId w:val="3"/>
        </w:numPr>
        <w:suppressAutoHyphens/>
        <w:spacing w:line="270" w:lineRule="exact"/>
        <w:rPr>
          <w:rFonts w:ascii="Arial" w:hAnsi="Arial" w:cs="Arial"/>
          <w:b/>
          <w:bCs/>
          <w:color w:val="000000"/>
          <w:sz w:val="20"/>
          <w:szCs w:val="20"/>
        </w:rPr>
      </w:pPr>
      <w:r>
        <w:rPr>
          <w:rFonts w:ascii="Arial" w:hAnsi="Arial" w:cs="Arial"/>
          <w:b/>
          <w:bCs/>
          <w:sz w:val="20"/>
          <w:szCs w:val="20"/>
        </w:rPr>
        <w:t>Izgledi</w:t>
      </w:r>
    </w:p>
    <w:p w:rsidR="00714C65" w:rsidRPr="00141E28" w:rsidRDefault="00714C65" w:rsidP="00714C65">
      <w:pPr>
        <w:pStyle w:val="Textedesaisie"/>
        <w:suppressAutoHyphens/>
        <w:spacing w:line="270" w:lineRule="exact"/>
      </w:pPr>
    </w:p>
    <w:p w:rsidR="00AB7FBA" w:rsidRPr="00141E28" w:rsidRDefault="00AB7FBA" w:rsidP="00141E28">
      <w:pPr>
        <w:spacing w:line="270" w:lineRule="exact"/>
        <w:jc w:val="both"/>
        <w:rPr>
          <w:rFonts w:ascii="Arial" w:hAnsi="Arial" w:cs="Arial"/>
          <w:bCs/>
          <w:color w:val="000000"/>
          <w:sz w:val="20"/>
          <w:szCs w:val="20"/>
        </w:rPr>
      </w:pPr>
      <w:r>
        <w:rPr>
          <w:rFonts w:ascii="Arial" w:hAnsi="Arial" w:cs="Arial"/>
          <w:color w:val="000000"/>
          <w:sz w:val="20"/>
          <w:szCs w:val="20"/>
        </w:rPr>
        <w:t xml:space="preserve">Trenutni makroekonomski ambijent je zahtevan (slab rast u razvijenim ekonomijama, veći rizici na tržištima u razvoju, kao i nestabilnost finansijskih tržišta), i nikakva značajna promena ovakve situacije ne predviđa se za 2016. godinu. U nedostatku značajnog skoka u globalnoj aktivnosti i uzimajući u obzir </w:t>
      </w:r>
      <w:r>
        <w:rPr>
          <w:rFonts w:ascii="Arial" w:hAnsi="Arial" w:cs="Arial"/>
          <w:color w:val="000000"/>
          <w:sz w:val="20"/>
          <w:szCs w:val="20"/>
        </w:rPr>
        <w:lastRenderedPageBreak/>
        <w:t>aktivnosti prenosa upravljanja javnim garancijama, ciljevi rasta i profitabilnosti (Povrat na prosečni opipljivi kapital ili RoATE) koje je Coface postavio pre dve godine za period koji se završava 2016. godine, neće biti postignuti. Međutim, poslovni model kompanije Coface, njena finansijska snaga i racio isplate od oko 60%, nisu ugroženi.</w:t>
      </w:r>
    </w:p>
    <w:p w:rsidR="00AB7FBA" w:rsidRPr="00141E28" w:rsidRDefault="00AB7FBA" w:rsidP="00A91727">
      <w:pPr>
        <w:spacing w:line="276" w:lineRule="auto"/>
        <w:jc w:val="both"/>
        <w:rPr>
          <w:rFonts w:ascii="Arial" w:hAnsi="Arial" w:cs="Arial"/>
          <w:bCs/>
          <w:color w:val="000000"/>
          <w:sz w:val="20"/>
          <w:szCs w:val="20"/>
        </w:rPr>
      </w:pPr>
    </w:p>
    <w:p w:rsidR="009A48DF" w:rsidRPr="00141E28" w:rsidRDefault="00A91727" w:rsidP="00141E28">
      <w:pPr>
        <w:spacing w:line="270" w:lineRule="exact"/>
        <w:jc w:val="both"/>
        <w:rPr>
          <w:rFonts w:ascii="Arial" w:eastAsia="Times New Roman" w:hAnsi="Arial" w:cs="Arial"/>
          <w:bCs/>
          <w:color w:val="000000"/>
          <w:sz w:val="20"/>
          <w:szCs w:val="20"/>
        </w:rPr>
      </w:pPr>
      <w:r>
        <w:rPr>
          <w:rFonts w:ascii="Arial" w:hAnsi="Arial" w:cs="Arial"/>
          <w:color w:val="000000"/>
          <w:sz w:val="20"/>
          <w:szCs w:val="20"/>
        </w:rPr>
        <w:t xml:space="preserve">Kako je najavljeno 15. januara2016. Xavier Durand preuzima funkciju generalnog direktora kompanije Coface koju je do sada vršio Jean-Marc Pillu i ova promena stupa na snagu od danas. Xavier Durand, 52 godine, diplomirao je na </w:t>
      </w:r>
      <w:r>
        <w:rPr>
          <w:rFonts w:ascii="Arial" w:hAnsi="Arial" w:cs="Arial"/>
          <w:i/>
          <w:iCs/>
          <w:color w:val="000000"/>
          <w:sz w:val="20"/>
          <w:szCs w:val="20"/>
        </w:rPr>
        <w:t xml:space="preserve">Polytechnique </w:t>
      </w:r>
      <w:r>
        <w:rPr>
          <w:rFonts w:ascii="Arial" w:hAnsi="Arial" w:cs="Arial"/>
          <w:color w:val="000000"/>
          <w:sz w:val="20"/>
          <w:szCs w:val="20"/>
        </w:rPr>
        <w:t xml:space="preserve">i proveo najveći deo svoje karijere u kompaniji GE Capital. Tokom poslednjih 25 godina stekao je operativno iskustvo na seniorskom nivou u opštem upravljanju regulisanim finansijskim uslugama u više od 30 zemalja. </w:t>
      </w:r>
    </w:p>
    <w:p w:rsidR="00035A72" w:rsidRPr="00141E28" w:rsidRDefault="00035A72" w:rsidP="00141E28">
      <w:pPr>
        <w:spacing w:line="270" w:lineRule="exact"/>
        <w:jc w:val="both"/>
        <w:rPr>
          <w:rFonts w:ascii="Arial" w:hAnsi="Arial" w:cs="Arial"/>
          <w:bCs/>
          <w:color w:val="000000"/>
          <w:sz w:val="20"/>
          <w:szCs w:val="20"/>
        </w:rPr>
      </w:pPr>
    </w:p>
    <w:p w:rsidR="009A48DF" w:rsidRPr="00141E28" w:rsidRDefault="00A91727" w:rsidP="00141E28">
      <w:pPr>
        <w:spacing w:line="270" w:lineRule="exact"/>
        <w:jc w:val="both"/>
        <w:rPr>
          <w:rFonts w:ascii="Arial" w:hAnsi="Arial" w:cs="Arial"/>
          <w:bCs/>
          <w:color w:val="000000"/>
          <w:sz w:val="20"/>
          <w:szCs w:val="20"/>
        </w:rPr>
      </w:pPr>
      <w:r>
        <w:rPr>
          <w:rFonts w:ascii="Arial" w:hAnsi="Arial" w:cs="Arial"/>
          <w:color w:val="000000"/>
          <w:sz w:val="20"/>
          <w:szCs w:val="20"/>
        </w:rPr>
        <w:t xml:space="preserve">Komentarišući svoje novo imenovanje, </w:t>
      </w:r>
      <w:r>
        <w:rPr>
          <w:rFonts w:ascii="Arial" w:hAnsi="Arial" w:cs="Arial"/>
          <w:b/>
          <w:bCs/>
          <w:color w:val="000000"/>
          <w:sz w:val="20"/>
          <w:szCs w:val="20"/>
        </w:rPr>
        <w:t>Xavier Durand</w:t>
      </w:r>
      <w:r>
        <w:rPr>
          <w:rFonts w:ascii="Arial" w:hAnsi="Arial" w:cs="Arial"/>
          <w:color w:val="000000"/>
          <w:sz w:val="20"/>
          <w:szCs w:val="20"/>
        </w:rPr>
        <w:t>, generalni direktor kompanije Coface, rekao je:</w:t>
      </w:r>
    </w:p>
    <w:p w:rsidR="009A48DF" w:rsidRPr="00141E28" w:rsidRDefault="009A48DF">
      <w:pPr>
        <w:suppressAutoHyphens/>
        <w:spacing w:line="270" w:lineRule="exact"/>
        <w:jc w:val="both"/>
        <w:rPr>
          <w:rFonts w:ascii="Arial" w:eastAsia="Times New Roman" w:hAnsi="Arial" w:cs="Arial"/>
          <w:bCs/>
          <w:i/>
          <w:color w:val="000000"/>
          <w:sz w:val="20"/>
          <w:szCs w:val="20"/>
        </w:rPr>
      </w:pPr>
    </w:p>
    <w:p w:rsidR="0035693E" w:rsidRPr="00141E28" w:rsidRDefault="009A48DF" w:rsidP="00141E28">
      <w:pPr>
        <w:spacing w:line="270" w:lineRule="exact"/>
        <w:jc w:val="both"/>
        <w:rPr>
          <w:rFonts w:ascii="Arial" w:eastAsia="Times New Roman" w:hAnsi="Arial" w:cs="Arial"/>
          <w:bCs/>
          <w:i/>
          <w:color w:val="000000"/>
          <w:sz w:val="20"/>
          <w:szCs w:val="20"/>
        </w:rPr>
      </w:pPr>
      <w:r>
        <w:rPr>
          <w:rFonts w:ascii="Arial" w:eastAsia="Times New Roman" w:hAnsi="Arial" w:cs="Arial"/>
          <w:i/>
          <w:iCs/>
          <w:color w:val="000000"/>
          <w:sz w:val="20"/>
          <w:szCs w:val="20"/>
        </w:rPr>
        <w:t>« Ja sam ponosan što sam na čelu ove velike kompanije:Coface je svetski poznat brend i ova Grupa poseduje detaljna stručna znanja.</w:t>
      </w:r>
    </w:p>
    <w:p w:rsidR="00376EEF" w:rsidRPr="00141E28" w:rsidRDefault="00D21B75">
      <w:pPr>
        <w:suppressAutoHyphens/>
        <w:spacing w:line="270" w:lineRule="exact"/>
        <w:jc w:val="both"/>
        <w:rPr>
          <w:rFonts w:ascii="Arial" w:eastAsia="Times New Roman" w:hAnsi="Arial" w:cs="Arial"/>
          <w:bCs/>
          <w:i/>
          <w:color w:val="000000"/>
          <w:sz w:val="20"/>
          <w:szCs w:val="20"/>
        </w:rPr>
      </w:pPr>
      <w:r>
        <w:rPr>
          <w:rFonts w:ascii="Arial" w:eastAsia="Times New Roman" w:hAnsi="Arial" w:cs="Arial"/>
          <w:i/>
          <w:iCs/>
          <w:color w:val="000000"/>
          <w:sz w:val="20"/>
          <w:szCs w:val="20"/>
        </w:rPr>
        <w:t>Moji prioriteti su sledeći:</w:t>
      </w:r>
    </w:p>
    <w:p w:rsidR="00376EEF" w:rsidRPr="00141E28" w:rsidRDefault="00376EEF">
      <w:pPr>
        <w:numPr>
          <w:ilvl w:val="0"/>
          <w:numId w:val="4"/>
        </w:numPr>
        <w:suppressAutoHyphens/>
        <w:spacing w:line="270" w:lineRule="exact"/>
        <w:jc w:val="both"/>
        <w:rPr>
          <w:rFonts w:ascii="Arial" w:eastAsia="Times New Roman" w:hAnsi="Arial" w:cs="Arial"/>
          <w:bCs/>
          <w:i/>
          <w:color w:val="000000"/>
          <w:sz w:val="20"/>
          <w:szCs w:val="20"/>
        </w:rPr>
      </w:pPr>
      <w:r>
        <w:rPr>
          <w:rFonts w:ascii="Arial" w:eastAsia="Times New Roman" w:hAnsi="Arial" w:cs="Arial"/>
          <w:i/>
          <w:iCs/>
          <w:color w:val="000000"/>
          <w:sz w:val="20"/>
          <w:szCs w:val="20"/>
        </w:rPr>
        <w:t>Rizici: naša izloženost je prilagođena između 2014. i 2015. godine i mi ćemo nastaviti da se vršimo prilagođavanja onoliko dugo koliko je potrebno; efekti će se videti tokom vremena.</w:t>
      </w:r>
    </w:p>
    <w:p w:rsidR="009A48DF" w:rsidRPr="00141E28" w:rsidRDefault="00376EEF">
      <w:pPr>
        <w:numPr>
          <w:ilvl w:val="0"/>
          <w:numId w:val="4"/>
        </w:numPr>
        <w:suppressAutoHyphens/>
        <w:spacing w:line="270" w:lineRule="exact"/>
        <w:jc w:val="both"/>
        <w:rPr>
          <w:rFonts w:ascii="Arial" w:eastAsia="Times New Roman" w:hAnsi="Arial" w:cs="Arial"/>
          <w:bCs/>
          <w:i/>
          <w:color w:val="000000"/>
          <w:sz w:val="20"/>
          <w:szCs w:val="20"/>
        </w:rPr>
      </w:pPr>
      <w:r>
        <w:rPr>
          <w:rFonts w:ascii="Arial" w:eastAsia="Times New Roman" w:hAnsi="Arial" w:cs="Arial"/>
          <w:i/>
          <w:iCs/>
          <w:color w:val="000000"/>
          <w:sz w:val="20"/>
          <w:szCs w:val="20"/>
        </w:rPr>
        <w:t>Troškovi: proučićemo i uspostaviti strukturne promene potrebne za poboljšanje operativne efikasnosti Grupe.</w:t>
      </w:r>
    </w:p>
    <w:p w:rsidR="009A48DF" w:rsidRPr="00141E28" w:rsidRDefault="00376EEF">
      <w:pPr>
        <w:numPr>
          <w:ilvl w:val="0"/>
          <w:numId w:val="4"/>
        </w:numPr>
        <w:suppressAutoHyphens/>
        <w:spacing w:line="270" w:lineRule="exact"/>
        <w:jc w:val="both"/>
        <w:rPr>
          <w:rFonts w:ascii="Arial" w:eastAsia="Times New Roman" w:hAnsi="Arial" w:cs="Arial"/>
          <w:bCs/>
          <w:i/>
          <w:color w:val="000000"/>
          <w:sz w:val="20"/>
          <w:szCs w:val="20"/>
        </w:rPr>
      </w:pPr>
      <w:r>
        <w:rPr>
          <w:rFonts w:ascii="Arial" w:eastAsia="Times New Roman" w:hAnsi="Arial" w:cs="Arial"/>
          <w:i/>
          <w:iCs/>
          <w:color w:val="000000"/>
          <w:sz w:val="20"/>
          <w:szCs w:val="20"/>
        </w:rPr>
        <w:t>U tom kontekstu, moja misija je takođe da se identifikuju načini i sredstva da se ponovo poveća komercijalna aktivnost Grupe.</w:t>
      </w:r>
    </w:p>
    <w:p w:rsidR="009A48DF" w:rsidRPr="00141E28" w:rsidRDefault="00DE4775">
      <w:pPr>
        <w:suppressAutoHyphens/>
        <w:spacing w:line="270" w:lineRule="exact"/>
        <w:jc w:val="both"/>
        <w:rPr>
          <w:rFonts w:ascii="Arial" w:eastAsia="Times New Roman" w:hAnsi="Arial" w:cs="Arial"/>
          <w:bCs/>
          <w:i/>
          <w:color w:val="000000"/>
          <w:sz w:val="20"/>
          <w:szCs w:val="20"/>
        </w:rPr>
      </w:pPr>
      <w:r>
        <w:rPr>
          <w:rFonts w:ascii="Arial" w:eastAsia="Times New Roman" w:hAnsi="Arial" w:cs="Arial"/>
          <w:i/>
          <w:iCs/>
          <w:color w:val="000000"/>
          <w:sz w:val="20"/>
          <w:szCs w:val="20"/>
        </w:rPr>
        <w:t>Sa mojim liderskim timom, i nakon početnog perioda prilagođavanja, definisaću postupke za jačanje profitabilnog rasta kompanije Coface u dugoročnom periodu.Počinjem ovaj posao danas i iskoristiću priliku da vas tokom naših kvartalnih ažuriranja informišem o našem napretku.</w:t>
      </w:r>
    </w:p>
    <w:p w:rsidR="009A48DF" w:rsidRPr="00DE4775" w:rsidRDefault="009A48DF" w:rsidP="009A48DF">
      <w:pPr>
        <w:suppressAutoHyphens/>
        <w:spacing w:line="270" w:lineRule="exact"/>
        <w:jc w:val="both"/>
        <w:rPr>
          <w:rFonts w:ascii="Arial" w:eastAsia="Times New Roman" w:hAnsi="Arial"/>
          <w:sz w:val="18"/>
          <w:szCs w:val="20"/>
        </w:rPr>
      </w:pPr>
    </w:p>
    <w:p w:rsidR="00B31162" w:rsidRPr="00DE4775" w:rsidRDefault="00B31162" w:rsidP="00104D56">
      <w:pPr>
        <w:pStyle w:val="Textedesaisie"/>
        <w:suppressAutoHyphens/>
        <w:spacing w:line="270" w:lineRule="exact"/>
        <w:rPr>
          <w:sz w:val="18"/>
        </w:rPr>
      </w:pPr>
    </w:p>
    <w:p w:rsidR="00B31162" w:rsidRPr="00DE4775" w:rsidRDefault="00B31162" w:rsidP="00104D56">
      <w:pPr>
        <w:pStyle w:val="Textedesaisie"/>
        <w:suppressAutoHyphens/>
        <w:spacing w:line="270" w:lineRule="exact"/>
        <w:rPr>
          <w:sz w:val="18"/>
        </w:rPr>
      </w:pPr>
    </w:p>
    <w:p w:rsidR="00D80C81" w:rsidRPr="00DE4775" w:rsidRDefault="00D80C81">
      <w:pPr>
        <w:widowControl/>
        <w:spacing w:after="200" w:line="276" w:lineRule="auto"/>
        <w:rPr>
          <w:sz w:val="18"/>
        </w:rPr>
      </w:pPr>
      <w:r>
        <w:rPr>
          <w:sz w:val="18"/>
        </w:rPr>
        <w:br w:type="page"/>
      </w:r>
    </w:p>
    <w:p w:rsidR="007C3993" w:rsidRPr="00DE4775" w:rsidRDefault="007C3993">
      <w:pPr>
        <w:widowControl/>
        <w:spacing w:after="200" w:line="276" w:lineRule="auto"/>
        <w:rPr>
          <w:sz w:val="18"/>
        </w:rPr>
        <w:sectPr w:rsidR="007C3993" w:rsidRPr="00DE4775" w:rsidSect="007651BC">
          <w:endnotePr>
            <w:numFmt w:val="decimal"/>
          </w:endnotePr>
          <w:type w:val="continuous"/>
          <w:pgSz w:w="12240" w:h="15840"/>
          <w:pgMar w:top="1417" w:right="1417" w:bottom="1417" w:left="1417" w:header="708" w:footer="708" w:gutter="0"/>
          <w:cols w:space="708"/>
          <w:docGrid w:linePitch="360"/>
        </w:sectPr>
      </w:pPr>
    </w:p>
    <w:tbl>
      <w:tblPr>
        <w:tblW w:w="9606" w:type="dxa"/>
        <w:tblLook w:val="04A0"/>
      </w:tblPr>
      <w:tblGrid>
        <w:gridCol w:w="4928"/>
        <w:gridCol w:w="4678"/>
      </w:tblGrid>
      <w:tr w:rsidR="00537212" w:rsidRPr="004B1794" w:rsidTr="00ED2BBE">
        <w:tc>
          <w:tcPr>
            <w:tcW w:w="9606" w:type="dxa"/>
            <w:gridSpan w:val="2"/>
            <w:shd w:val="clear" w:color="auto" w:fill="auto"/>
            <w:vAlign w:val="center"/>
          </w:tcPr>
          <w:p w:rsidR="00537212" w:rsidRPr="004B1794" w:rsidRDefault="00537212" w:rsidP="00ED2BBE">
            <w:pPr>
              <w:pStyle w:val="Footer"/>
              <w:spacing w:line="200" w:lineRule="exact"/>
              <w:jc w:val="center"/>
              <w:rPr>
                <w:rFonts w:ascii="Arial" w:hAnsi="Arial" w:cs="Arial"/>
                <w:b/>
                <w:sz w:val="18"/>
                <w:szCs w:val="20"/>
              </w:rPr>
            </w:pPr>
            <w:r>
              <w:rPr>
                <w:rFonts w:ascii="Arial" w:hAnsi="Arial" w:cs="Arial"/>
                <w:b/>
                <w:bCs/>
                <w:sz w:val="18"/>
                <w:szCs w:val="20"/>
              </w:rPr>
              <w:lastRenderedPageBreak/>
              <w:t>KONTAKTI</w:t>
            </w:r>
          </w:p>
          <w:p w:rsidR="00537212" w:rsidRPr="004B1794" w:rsidRDefault="00537212" w:rsidP="00ED2BBE">
            <w:pPr>
              <w:pStyle w:val="Footer"/>
              <w:spacing w:line="200" w:lineRule="exact"/>
              <w:jc w:val="center"/>
              <w:rPr>
                <w:rFonts w:ascii="Arial" w:hAnsi="Arial" w:cs="Arial"/>
                <w:b/>
                <w:sz w:val="18"/>
                <w:szCs w:val="20"/>
              </w:rPr>
            </w:pPr>
          </w:p>
        </w:tc>
      </w:tr>
      <w:tr w:rsidR="00537212" w:rsidRPr="004B1794" w:rsidTr="00ED2BBE">
        <w:tc>
          <w:tcPr>
            <w:tcW w:w="4928" w:type="dxa"/>
            <w:shd w:val="clear" w:color="auto" w:fill="auto"/>
          </w:tcPr>
          <w:p w:rsidR="00537212" w:rsidRPr="00AC58CF" w:rsidRDefault="00537212" w:rsidP="00ED2BBE">
            <w:pPr>
              <w:pStyle w:val="Footer"/>
              <w:spacing w:line="200" w:lineRule="exact"/>
              <w:jc w:val="center"/>
              <w:rPr>
                <w:rFonts w:ascii="Arial" w:hAnsi="Arial" w:cs="Arial"/>
                <w:sz w:val="18"/>
                <w:szCs w:val="20"/>
              </w:rPr>
            </w:pPr>
            <w:r>
              <w:rPr>
                <w:rFonts w:ascii="Arial" w:hAnsi="Arial" w:cs="Arial"/>
                <w:b/>
                <w:bCs/>
                <w:sz w:val="18"/>
                <w:szCs w:val="20"/>
              </w:rPr>
              <w:t>MEDIJI</w:t>
            </w:r>
          </w:p>
          <w:p w:rsidR="00537212" w:rsidRPr="00AC58CF" w:rsidRDefault="00537212" w:rsidP="00ED2BBE">
            <w:pPr>
              <w:pStyle w:val="Footer"/>
              <w:spacing w:line="200" w:lineRule="exact"/>
              <w:rPr>
                <w:rFonts w:ascii="Arial" w:hAnsi="Arial" w:cs="Arial"/>
                <w:sz w:val="18"/>
                <w:szCs w:val="20"/>
              </w:rPr>
            </w:pPr>
          </w:p>
          <w:p w:rsidR="00537212" w:rsidRPr="00AC58CF" w:rsidRDefault="00537212" w:rsidP="00ED2BBE">
            <w:pPr>
              <w:pStyle w:val="Footer"/>
              <w:spacing w:line="200" w:lineRule="exact"/>
              <w:rPr>
                <w:rFonts w:ascii="Arial" w:hAnsi="Arial" w:cs="Arial"/>
                <w:sz w:val="18"/>
                <w:szCs w:val="20"/>
              </w:rPr>
            </w:pPr>
          </w:p>
          <w:p w:rsidR="00537212" w:rsidRDefault="00537212" w:rsidP="00ED2BBE">
            <w:pPr>
              <w:pStyle w:val="Footer"/>
              <w:spacing w:line="200" w:lineRule="exact"/>
              <w:jc w:val="center"/>
              <w:rPr>
                <w:rStyle w:val="Hyperlink"/>
                <w:rFonts w:ascii="Arial" w:hAnsi="Arial" w:cs="Arial"/>
                <w:sz w:val="18"/>
                <w:szCs w:val="20"/>
              </w:rPr>
            </w:pPr>
            <w:r>
              <w:rPr>
                <w:rFonts w:ascii="Arial" w:hAnsi="Arial" w:cs="Arial"/>
                <w:sz w:val="18"/>
                <w:szCs w:val="20"/>
              </w:rPr>
              <w:t xml:space="preserve">Monica COULL </w:t>
            </w:r>
            <w:r>
              <w:rPr>
                <w:rFonts w:ascii="Arial" w:hAnsi="Arial" w:cs="Arial"/>
                <w:sz w:val="18"/>
                <w:szCs w:val="20"/>
              </w:rPr>
              <w:br/>
              <w:t xml:space="preserve">T. +33 (0)1 49 02 25 01 </w:t>
            </w:r>
            <w:r>
              <w:rPr>
                <w:rFonts w:ascii="Arial" w:hAnsi="Arial" w:cs="Arial"/>
                <w:sz w:val="18"/>
                <w:szCs w:val="20"/>
              </w:rPr>
              <w:br/>
            </w:r>
            <w:hyperlink r:id="rId10" w:history="1">
              <w:r>
                <w:rPr>
                  <w:rStyle w:val="Hyperlink"/>
                  <w:rFonts w:ascii="Arial" w:hAnsi="Arial" w:cs="Arial"/>
                  <w:sz w:val="18"/>
                  <w:szCs w:val="20"/>
                </w:rPr>
                <w:t>monica.coull@coface.com</w:t>
              </w:r>
            </w:hyperlink>
          </w:p>
          <w:p w:rsidR="00537212" w:rsidRDefault="00537212" w:rsidP="00ED2BBE">
            <w:pPr>
              <w:pStyle w:val="Footer"/>
              <w:spacing w:line="200" w:lineRule="exact"/>
              <w:jc w:val="center"/>
              <w:rPr>
                <w:rStyle w:val="Hyperlink"/>
                <w:rFonts w:ascii="Arial" w:hAnsi="Arial" w:cs="Arial"/>
                <w:sz w:val="18"/>
                <w:szCs w:val="20"/>
              </w:rPr>
            </w:pPr>
          </w:p>
          <w:p w:rsidR="00537212" w:rsidRPr="00D936E4" w:rsidRDefault="00537212" w:rsidP="00ED2BBE">
            <w:pPr>
              <w:pStyle w:val="Footer"/>
              <w:spacing w:line="200" w:lineRule="exact"/>
              <w:jc w:val="center"/>
              <w:rPr>
                <w:rStyle w:val="Hyperlink"/>
                <w:rFonts w:ascii="Arial" w:hAnsi="Arial" w:cs="Arial"/>
                <w:color w:val="auto"/>
                <w:sz w:val="18"/>
                <w:szCs w:val="20"/>
                <w:u w:val="none"/>
              </w:rPr>
            </w:pPr>
            <w:r>
              <w:rPr>
                <w:rStyle w:val="Hyperlink"/>
                <w:rFonts w:ascii="Arial" w:hAnsi="Arial" w:cs="Arial"/>
                <w:color w:val="auto"/>
                <w:sz w:val="18"/>
                <w:szCs w:val="20"/>
                <w:u w:val="none"/>
              </w:rPr>
              <w:t xml:space="preserve">Maria KRELLENSTEIN </w:t>
            </w:r>
          </w:p>
          <w:p w:rsidR="00537212" w:rsidRPr="00D936E4" w:rsidRDefault="00537212" w:rsidP="00ED2BBE">
            <w:pPr>
              <w:pStyle w:val="Footer"/>
              <w:spacing w:line="200" w:lineRule="exact"/>
              <w:jc w:val="center"/>
              <w:rPr>
                <w:rStyle w:val="Hyperlink"/>
                <w:rFonts w:ascii="Arial" w:hAnsi="Arial" w:cs="Arial"/>
                <w:color w:val="auto"/>
                <w:sz w:val="18"/>
                <w:szCs w:val="20"/>
                <w:u w:val="none"/>
              </w:rPr>
            </w:pPr>
            <w:r>
              <w:rPr>
                <w:rStyle w:val="Hyperlink"/>
                <w:rFonts w:ascii="Arial" w:hAnsi="Arial" w:cs="Arial"/>
                <w:color w:val="auto"/>
                <w:sz w:val="18"/>
                <w:szCs w:val="20"/>
                <w:u w:val="none"/>
              </w:rPr>
              <w:t xml:space="preserve">T. +33 (0)1 49 02 16 29 </w:t>
            </w:r>
          </w:p>
          <w:p w:rsidR="00537212" w:rsidRPr="00621032" w:rsidRDefault="00537212" w:rsidP="00ED2BBE">
            <w:pPr>
              <w:pStyle w:val="Footer"/>
              <w:spacing w:line="200" w:lineRule="exact"/>
              <w:jc w:val="center"/>
              <w:rPr>
                <w:rStyle w:val="Hyperlink"/>
                <w:rFonts w:ascii="Arial" w:hAnsi="Arial" w:cs="Arial"/>
                <w:sz w:val="18"/>
                <w:szCs w:val="20"/>
              </w:rPr>
            </w:pPr>
            <w:r>
              <w:rPr>
                <w:rStyle w:val="Hyperlink"/>
                <w:rFonts w:ascii="Arial" w:hAnsi="Arial" w:cs="Arial"/>
                <w:sz w:val="18"/>
                <w:szCs w:val="20"/>
              </w:rPr>
              <w:t>maria.krellenstein@coface.com</w:t>
            </w:r>
          </w:p>
          <w:p w:rsidR="00537212" w:rsidRPr="00621032" w:rsidRDefault="00537212" w:rsidP="00ED2BBE">
            <w:pPr>
              <w:spacing w:line="200" w:lineRule="exact"/>
              <w:jc w:val="center"/>
              <w:rPr>
                <w:rFonts w:ascii="Arial" w:hAnsi="Arial" w:cs="Arial"/>
                <w:sz w:val="18"/>
                <w:szCs w:val="20"/>
              </w:rPr>
            </w:pPr>
          </w:p>
          <w:p w:rsidR="00537212" w:rsidRPr="00621032" w:rsidRDefault="00537212" w:rsidP="00ED2BBE">
            <w:pPr>
              <w:spacing w:line="200" w:lineRule="exact"/>
              <w:jc w:val="center"/>
              <w:rPr>
                <w:rFonts w:ascii="Arial" w:hAnsi="Arial" w:cs="Arial"/>
                <w:b/>
                <w:sz w:val="18"/>
                <w:szCs w:val="20"/>
              </w:rPr>
            </w:pPr>
          </w:p>
        </w:tc>
        <w:tc>
          <w:tcPr>
            <w:tcW w:w="4678" w:type="dxa"/>
            <w:shd w:val="clear" w:color="auto" w:fill="auto"/>
          </w:tcPr>
          <w:p w:rsidR="00537212" w:rsidRPr="004B1794" w:rsidRDefault="00D51331" w:rsidP="00ED2BBE">
            <w:pPr>
              <w:pStyle w:val="Footer"/>
              <w:spacing w:line="200" w:lineRule="exact"/>
              <w:jc w:val="center"/>
              <w:rPr>
                <w:rFonts w:ascii="Arial" w:hAnsi="Arial" w:cs="Arial"/>
                <w:b/>
                <w:sz w:val="18"/>
                <w:szCs w:val="20"/>
              </w:rPr>
            </w:pPr>
            <w:r>
              <w:rPr>
                <w:rFonts w:ascii="Arial" w:hAnsi="Arial" w:cs="Arial"/>
                <w:b/>
                <w:bCs/>
                <w:sz w:val="18"/>
                <w:szCs w:val="20"/>
              </w:rPr>
              <w:t>ANALITIČARI / INVESTITORI</w:t>
            </w:r>
          </w:p>
          <w:p w:rsidR="00537212" w:rsidRPr="004B1794" w:rsidRDefault="00537212" w:rsidP="00ED2BBE">
            <w:pPr>
              <w:pStyle w:val="Footer"/>
              <w:spacing w:line="200" w:lineRule="exact"/>
              <w:rPr>
                <w:rFonts w:ascii="Arial" w:hAnsi="Arial" w:cs="Arial"/>
                <w:b/>
                <w:sz w:val="18"/>
                <w:szCs w:val="20"/>
              </w:rPr>
            </w:pPr>
          </w:p>
          <w:p w:rsidR="00537212" w:rsidRPr="004B1794" w:rsidRDefault="00537212" w:rsidP="00ED2BBE">
            <w:pPr>
              <w:pStyle w:val="Footer"/>
              <w:spacing w:line="200" w:lineRule="exact"/>
              <w:jc w:val="center"/>
              <w:rPr>
                <w:rFonts w:ascii="Arial" w:hAnsi="Arial" w:cs="Arial"/>
                <w:spacing w:val="-2"/>
                <w:sz w:val="18"/>
                <w:szCs w:val="20"/>
              </w:rPr>
            </w:pPr>
          </w:p>
          <w:p w:rsidR="00537212" w:rsidRPr="004B1794" w:rsidRDefault="00537212" w:rsidP="00ED2BBE">
            <w:pPr>
              <w:pStyle w:val="Footer"/>
              <w:spacing w:line="200" w:lineRule="exact"/>
              <w:jc w:val="center"/>
              <w:rPr>
                <w:rFonts w:ascii="Arial" w:hAnsi="Arial" w:cs="Arial"/>
                <w:spacing w:val="-2"/>
                <w:sz w:val="18"/>
                <w:szCs w:val="20"/>
              </w:rPr>
            </w:pPr>
            <w:r>
              <w:rPr>
                <w:rFonts w:ascii="Arial" w:hAnsi="Arial" w:cs="Arial"/>
                <w:sz w:val="18"/>
                <w:szCs w:val="20"/>
              </w:rPr>
              <w:t xml:space="preserve">Nicolas ANDRIOPOULOS </w:t>
            </w:r>
            <w:r>
              <w:rPr>
                <w:rFonts w:ascii="Arial" w:hAnsi="Arial" w:cs="Arial"/>
                <w:sz w:val="18"/>
                <w:szCs w:val="20"/>
              </w:rPr>
              <w:br/>
              <w:t xml:space="preserve">Cécile COMBEAU </w:t>
            </w:r>
            <w:r>
              <w:rPr>
                <w:rFonts w:ascii="Arial" w:hAnsi="Arial" w:cs="Arial"/>
                <w:sz w:val="18"/>
                <w:szCs w:val="20"/>
              </w:rPr>
              <w:br/>
              <w:t>T. +</w:t>
            </w:r>
            <w:r>
              <w:rPr>
                <w:rFonts w:ascii="Arial" w:hAnsi="Arial" w:cs="Arial"/>
                <w:color w:val="000000"/>
                <w:sz w:val="18"/>
                <w:szCs w:val="20"/>
              </w:rPr>
              <w:t xml:space="preserve">33 (0)1 49 02 22 94 </w:t>
            </w:r>
            <w:r>
              <w:rPr>
                <w:rFonts w:ascii="Arial" w:hAnsi="Arial" w:cs="Arial"/>
                <w:color w:val="000000"/>
                <w:sz w:val="18"/>
                <w:szCs w:val="20"/>
              </w:rPr>
              <w:br/>
            </w:r>
            <w:hyperlink r:id="rId11" w:history="1">
              <w:r>
                <w:rPr>
                  <w:rStyle w:val="Hyperlink"/>
                  <w:rFonts w:ascii="Arial" w:hAnsi="Arial" w:cs="Arial"/>
                  <w:sz w:val="18"/>
                  <w:szCs w:val="20"/>
                </w:rPr>
                <w:t>investors@coface.com</w:t>
              </w:r>
            </w:hyperlink>
          </w:p>
          <w:p w:rsidR="00537212" w:rsidRPr="004B1794" w:rsidRDefault="00537212" w:rsidP="00ED2BBE">
            <w:pPr>
              <w:pStyle w:val="Footer"/>
              <w:spacing w:line="200" w:lineRule="exact"/>
              <w:rPr>
                <w:rFonts w:ascii="Arial" w:hAnsi="Arial" w:cs="Arial"/>
                <w:b/>
                <w:sz w:val="18"/>
                <w:szCs w:val="20"/>
              </w:rPr>
            </w:pPr>
          </w:p>
        </w:tc>
      </w:tr>
    </w:tbl>
    <w:p w:rsidR="00537212" w:rsidRPr="004B1794" w:rsidRDefault="00537212" w:rsidP="00537212">
      <w:pPr>
        <w:rPr>
          <w:rFonts w:ascii="Arial" w:hAnsi="Arial" w:cs="Arial"/>
          <w:b/>
          <w:iCs/>
          <w:sz w:val="14"/>
          <w:szCs w:val="20"/>
        </w:rPr>
      </w:pPr>
    </w:p>
    <w:p w:rsidR="00537212" w:rsidRPr="004B1794" w:rsidRDefault="00537212" w:rsidP="00537212">
      <w:pPr>
        <w:rPr>
          <w:rFonts w:ascii="Arial" w:hAnsi="Arial" w:cs="Arial"/>
          <w:b/>
          <w:iCs/>
          <w:sz w:val="14"/>
          <w:szCs w:val="20"/>
        </w:rPr>
      </w:pPr>
    </w:p>
    <w:p w:rsidR="00F66E23" w:rsidRPr="00FA67E9" w:rsidRDefault="00F66E23" w:rsidP="00F66E23">
      <w:pPr>
        <w:spacing w:line="200" w:lineRule="exact"/>
        <w:ind w:left="360"/>
        <w:jc w:val="center"/>
        <w:rPr>
          <w:rFonts w:ascii="Arial" w:hAnsi="Arial" w:cs="Arial"/>
          <w:b/>
          <w:sz w:val="18"/>
          <w:szCs w:val="20"/>
        </w:rPr>
      </w:pPr>
      <w:r>
        <w:rPr>
          <w:rFonts w:ascii="Arial" w:hAnsi="Arial" w:cs="Arial"/>
          <w:b/>
          <w:bCs/>
          <w:sz w:val="18"/>
          <w:szCs w:val="20"/>
        </w:rPr>
        <w:t>FINANSIJSKI KALENDAR</w:t>
      </w:r>
      <w:r w:rsidR="0077375A">
        <w:rPr>
          <w:rFonts w:ascii="Arial" w:hAnsi="Arial" w:cs="Arial"/>
          <w:b/>
          <w:bCs/>
          <w:sz w:val="18"/>
          <w:szCs w:val="20"/>
        </w:rPr>
        <w:t xml:space="preserve"> ZA</w:t>
      </w:r>
      <w:r>
        <w:rPr>
          <w:rFonts w:ascii="Arial" w:hAnsi="Arial" w:cs="Arial"/>
          <w:b/>
          <w:bCs/>
          <w:sz w:val="18"/>
          <w:szCs w:val="20"/>
        </w:rPr>
        <w:t xml:space="preserve"> 2016.</w:t>
      </w:r>
    </w:p>
    <w:p w:rsidR="00F66E23" w:rsidRPr="00FB0D11" w:rsidRDefault="00F66E23" w:rsidP="00F66E23">
      <w:pPr>
        <w:widowControl/>
        <w:suppressAutoHyphens/>
        <w:autoSpaceDE w:val="0"/>
        <w:autoSpaceDN w:val="0"/>
        <w:adjustRightInd w:val="0"/>
        <w:spacing w:line="270" w:lineRule="exact"/>
        <w:ind w:left="360"/>
        <w:jc w:val="center"/>
        <w:rPr>
          <w:rFonts w:ascii="Arial" w:hAnsi="Arial" w:cs="Arial"/>
          <w:bCs/>
          <w:color w:val="000000"/>
          <w:sz w:val="18"/>
          <w:szCs w:val="20"/>
        </w:rPr>
      </w:pPr>
      <w:r>
        <w:rPr>
          <w:rFonts w:ascii="Arial" w:hAnsi="Arial" w:cs="Arial"/>
          <w:color w:val="000000"/>
          <w:sz w:val="18"/>
          <w:szCs w:val="20"/>
        </w:rPr>
        <w:t>4. maj 2016.: objavljivanje rezultata za prvi kvartal 2016.</w:t>
      </w:r>
    </w:p>
    <w:p w:rsidR="00F66E23" w:rsidRPr="00224F68" w:rsidRDefault="00F66E23" w:rsidP="00F66E23">
      <w:pPr>
        <w:widowControl/>
        <w:suppressAutoHyphens/>
        <w:autoSpaceDE w:val="0"/>
        <w:autoSpaceDN w:val="0"/>
        <w:adjustRightInd w:val="0"/>
        <w:spacing w:line="270" w:lineRule="exact"/>
        <w:ind w:left="360"/>
        <w:jc w:val="center"/>
        <w:rPr>
          <w:rFonts w:ascii="Arial" w:hAnsi="Arial" w:cs="Arial"/>
          <w:bCs/>
          <w:color w:val="000000"/>
          <w:sz w:val="18"/>
          <w:szCs w:val="20"/>
        </w:rPr>
      </w:pPr>
      <w:r>
        <w:rPr>
          <w:rFonts w:ascii="Arial" w:hAnsi="Arial" w:cs="Arial"/>
          <w:color w:val="000000"/>
          <w:sz w:val="18"/>
          <w:szCs w:val="20"/>
        </w:rPr>
        <w:t>19. maj 2016.: generalna skupština akcionara</w:t>
      </w:r>
      <w:r>
        <w:rPr>
          <w:rFonts w:ascii="Arial" w:hAnsi="Arial" w:cs="Arial"/>
          <w:color w:val="000000"/>
          <w:sz w:val="18"/>
          <w:szCs w:val="20"/>
        </w:rPr>
        <w:br/>
        <w:t>27. jul 2016.: objavljivanje rezultata za prvu polovinu 2016.</w:t>
      </w:r>
      <w:r>
        <w:rPr>
          <w:rFonts w:ascii="Arial" w:hAnsi="Arial" w:cs="Arial"/>
          <w:color w:val="000000"/>
          <w:sz w:val="18"/>
          <w:szCs w:val="20"/>
        </w:rPr>
        <w:br/>
        <w:t>3. novembar 2016.: objavljivanje devetomesečnih rezultata za 2016.</w:t>
      </w:r>
    </w:p>
    <w:p w:rsidR="00F66E23" w:rsidRPr="00224F68" w:rsidRDefault="00F66E23" w:rsidP="00F66E23">
      <w:pPr>
        <w:widowControl/>
        <w:suppressAutoHyphens/>
        <w:autoSpaceDE w:val="0"/>
        <w:autoSpaceDN w:val="0"/>
        <w:adjustRightInd w:val="0"/>
        <w:spacing w:line="270" w:lineRule="exact"/>
        <w:jc w:val="center"/>
        <w:rPr>
          <w:rFonts w:ascii="Arial" w:hAnsi="Arial" w:cs="Arial"/>
          <w:b/>
          <w:bCs/>
          <w:color w:val="000000"/>
          <w:sz w:val="18"/>
          <w:szCs w:val="20"/>
        </w:rPr>
      </w:pPr>
    </w:p>
    <w:p w:rsidR="00F66E23" w:rsidRPr="00FA67E9" w:rsidRDefault="00F66E23" w:rsidP="00F66E23">
      <w:pPr>
        <w:widowControl/>
        <w:suppressAutoHyphens/>
        <w:autoSpaceDE w:val="0"/>
        <w:autoSpaceDN w:val="0"/>
        <w:adjustRightInd w:val="0"/>
        <w:spacing w:line="270" w:lineRule="exact"/>
        <w:ind w:left="360"/>
        <w:jc w:val="center"/>
        <w:rPr>
          <w:rFonts w:ascii="Arial" w:hAnsi="Arial" w:cs="Arial"/>
          <w:b/>
          <w:bCs/>
          <w:color w:val="000000"/>
          <w:sz w:val="18"/>
          <w:szCs w:val="20"/>
        </w:rPr>
      </w:pPr>
      <w:r>
        <w:rPr>
          <w:rFonts w:ascii="Arial" w:hAnsi="Arial" w:cs="Arial"/>
          <w:b/>
          <w:bCs/>
          <w:color w:val="000000"/>
          <w:sz w:val="18"/>
          <w:szCs w:val="20"/>
        </w:rPr>
        <w:t>FINANSIJSKE INFORMACIJE</w:t>
      </w:r>
    </w:p>
    <w:p w:rsidR="00F66E23" w:rsidRPr="00FA67E9" w:rsidRDefault="00F66E23" w:rsidP="00F66E23">
      <w:pPr>
        <w:widowControl/>
        <w:suppressAutoHyphens/>
        <w:autoSpaceDE w:val="0"/>
        <w:autoSpaceDN w:val="0"/>
        <w:adjustRightInd w:val="0"/>
        <w:spacing w:line="270" w:lineRule="exact"/>
        <w:ind w:left="360"/>
        <w:jc w:val="center"/>
        <w:rPr>
          <w:rFonts w:ascii="Arial" w:hAnsi="Arial" w:cs="Arial"/>
          <w:bCs/>
          <w:color w:val="000000"/>
          <w:sz w:val="18"/>
          <w:szCs w:val="20"/>
        </w:rPr>
      </w:pPr>
      <w:r>
        <w:rPr>
          <w:rFonts w:ascii="Arial" w:hAnsi="Arial" w:cs="Arial"/>
          <w:color w:val="000000"/>
          <w:sz w:val="18"/>
          <w:szCs w:val="20"/>
        </w:rPr>
        <w:t xml:space="preserve">Ovo saopštenje za javnost, kao i integralne regulatorne informacije kompanije Coface SA, konsolidovani računi i analitička prezentacija fiskalne 2015. godine, mogu se naći na sajtu Grupe: </w:t>
      </w:r>
      <w:r>
        <w:rPr>
          <w:rFonts w:ascii="Arial" w:hAnsi="Arial" w:cs="Arial"/>
          <w:color w:val="000000"/>
          <w:sz w:val="18"/>
          <w:szCs w:val="20"/>
          <w:u w:val="single"/>
        </w:rPr>
        <w:t>http://www.coface.com/Investors</w:t>
      </w:r>
    </w:p>
    <w:p w:rsidR="00537212" w:rsidRPr="00F66E23" w:rsidRDefault="00537212" w:rsidP="00537212">
      <w:pPr>
        <w:rPr>
          <w:rFonts w:ascii="Arial" w:hAnsi="Arial" w:cs="Arial"/>
          <w:i/>
          <w:iCs/>
          <w:sz w:val="14"/>
          <w:szCs w:val="20"/>
        </w:rPr>
      </w:pPr>
    </w:p>
    <w:p w:rsidR="00537212" w:rsidRPr="00F66E23" w:rsidRDefault="00537212" w:rsidP="00537212">
      <w:pPr>
        <w:tabs>
          <w:tab w:val="left" w:pos="6150"/>
        </w:tabs>
        <w:rPr>
          <w:rFonts w:ascii="Arial" w:hAnsi="Arial" w:cs="Arial"/>
          <w:i/>
          <w:iCs/>
          <w:sz w:val="14"/>
          <w:szCs w:val="20"/>
        </w:rPr>
      </w:pPr>
      <w:r>
        <w:rPr>
          <w:i/>
          <w:iCs/>
        </w:rPr>
        <w:tab/>
      </w:r>
    </w:p>
    <w:p w:rsidR="00537212" w:rsidRPr="00E1453F" w:rsidRDefault="00537212" w:rsidP="00537212">
      <w:pPr>
        <w:rPr>
          <w:rFonts w:ascii="Arial" w:hAnsi="Arial" w:cs="Arial"/>
          <w:sz w:val="20"/>
          <w:szCs w:val="20"/>
        </w:rPr>
      </w:pPr>
    </w:p>
    <w:p w:rsidR="00D51331" w:rsidRPr="00FA67E9" w:rsidRDefault="00D51331" w:rsidP="00D51331">
      <w:pPr>
        <w:rPr>
          <w:rFonts w:ascii="Arial" w:hAnsi="Arial" w:cs="Arial"/>
          <w:i/>
          <w:iCs/>
          <w:sz w:val="14"/>
          <w:szCs w:val="20"/>
        </w:rPr>
      </w:pPr>
    </w:p>
    <w:tbl>
      <w:tblPr>
        <w:tblpPr w:leftFromText="141" w:rightFromText="141" w:vertAnchor="text" w:horzAnchor="margin" w:tblpY="58"/>
        <w:tblW w:w="8540" w:type="dxa"/>
        <w:tblLayout w:type="fixed"/>
        <w:tblCellMar>
          <w:left w:w="0" w:type="dxa"/>
          <w:right w:w="0" w:type="dxa"/>
        </w:tblCellMar>
        <w:tblLook w:val="00A0"/>
      </w:tblPr>
      <w:tblGrid>
        <w:gridCol w:w="8540"/>
      </w:tblGrid>
      <w:tr w:rsidR="00D51331" w:rsidRPr="00FA67E9" w:rsidTr="007D36CE">
        <w:trPr>
          <w:trHeight w:val="220"/>
        </w:trPr>
        <w:tc>
          <w:tcPr>
            <w:tcW w:w="8540" w:type="dxa"/>
            <w:shd w:val="clear" w:color="auto" w:fill="E9EDF4"/>
          </w:tcPr>
          <w:p w:rsidR="00D51331" w:rsidRPr="00FA67E9" w:rsidRDefault="00D51331" w:rsidP="007D36CE">
            <w:pPr>
              <w:spacing w:line="200" w:lineRule="exact"/>
              <w:ind w:left="101"/>
              <w:jc w:val="both"/>
              <w:rPr>
                <w:rFonts w:ascii="Arial" w:hAnsi="Arial" w:cs="Arial"/>
                <w:sz w:val="16"/>
                <w:szCs w:val="18"/>
              </w:rPr>
            </w:pPr>
            <w:r>
              <w:rPr>
                <w:rFonts w:ascii="Arial" w:hAnsi="Arial" w:cs="Arial"/>
                <w:b/>
                <w:bCs/>
                <w:sz w:val="16"/>
                <w:szCs w:val="18"/>
              </w:rPr>
              <w:t>O kompaniji Coface</w:t>
            </w:r>
          </w:p>
          <w:p w:rsidR="00D51331" w:rsidRPr="00FA67E9" w:rsidRDefault="00D51331" w:rsidP="007D36CE">
            <w:pPr>
              <w:spacing w:line="200" w:lineRule="exact"/>
              <w:ind w:left="101"/>
              <w:jc w:val="both"/>
              <w:rPr>
                <w:rFonts w:ascii="Arial" w:hAnsi="Arial" w:cs="Arial"/>
                <w:sz w:val="16"/>
                <w:szCs w:val="18"/>
              </w:rPr>
            </w:pPr>
          </w:p>
          <w:p w:rsidR="00D51331" w:rsidRPr="00FA67E9" w:rsidRDefault="00D51331" w:rsidP="007D36CE">
            <w:pPr>
              <w:spacing w:line="240" w:lineRule="atLeast"/>
              <w:ind w:left="142" w:right="141"/>
              <w:jc w:val="both"/>
              <w:rPr>
                <w:rFonts w:ascii="Arial" w:hAnsi="Arial" w:cs="Arial"/>
                <w:sz w:val="16"/>
                <w:szCs w:val="18"/>
              </w:rPr>
            </w:pPr>
            <w:r>
              <w:rPr>
                <w:rFonts w:ascii="Arial" w:hAnsi="Arial" w:cs="Arial"/>
                <w:sz w:val="16"/>
                <w:szCs w:val="18"/>
              </w:rPr>
              <w:t>Grupa Coface, svetski lider u osiguranju potraživanja, kompanijama iz celog sveta nudi rešenja za zaštitu od rizika neizmirenja finansijskih obaveza od strane klijenata, kako na domaćem tržištu, tako i za izvoz. U 2015. godini, Grupa je, uz pomoć svojih ~4.500 zaposlenih, ostvarila konsolidovani prihod od 1,490 milijardi evra. Prisutna direktno ili posredno u 99 zemalja, Coface obezbeđuje transakcije 40.000 kompanija u više od 200 zemalja. U svakom kvartalu, Coface objavljuje procene rizika za 160 zemalja, na osnovu svog jedinstvenog znanja o platežnom ponašanju kompanija i na osnovu stručnosti svojih 340 osiguravača koji se nalaze blizu klijenata i njhovih dužnika.</w:t>
            </w:r>
          </w:p>
          <w:p w:rsidR="00D51331" w:rsidRPr="00FA67E9" w:rsidRDefault="00D51331" w:rsidP="007D36CE">
            <w:pPr>
              <w:spacing w:line="240" w:lineRule="atLeast"/>
              <w:ind w:left="142" w:right="141"/>
              <w:jc w:val="both"/>
              <w:rPr>
                <w:rFonts w:ascii="Arial" w:hAnsi="Arial" w:cs="Arial"/>
                <w:sz w:val="16"/>
                <w:szCs w:val="21"/>
              </w:rPr>
            </w:pPr>
            <w:r>
              <w:rPr>
                <w:rFonts w:ascii="Arial" w:hAnsi="Arial" w:cs="Arial"/>
                <w:sz w:val="16"/>
                <w:szCs w:val="21"/>
              </w:rPr>
              <w:t>U Francuskoj, Coface rukovodi izvozom javnih garancija u ime francuske države.</w:t>
            </w:r>
          </w:p>
          <w:p w:rsidR="00D51331" w:rsidRPr="00FA67E9" w:rsidRDefault="00437E5A" w:rsidP="007D36CE">
            <w:pPr>
              <w:spacing w:before="60" w:after="60" w:line="240" w:lineRule="atLeast"/>
              <w:ind w:right="113"/>
              <w:jc w:val="center"/>
              <w:rPr>
                <w:rFonts w:ascii="Arial" w:hAnsi="Arial" w:cs="Arial"/>
                <w:color w:val="0000FF"/>
                <w:sz w:val="16"/>
                <w:szCs w:val="18"/>
                <w:u w:val="single"/>
              </w:rPr>
            </w:pPr>
            <w:hyperlink r:id="rId12" w:history="1">
              <w:r w:rsidR="00034CB4">
                <w:rPr>
                  <w:rFonts w:ascii="Arial" w:hAnsi="Arial" w:cs="Arial"/>
                  <w:color w:val="0000FF"/>
                  <w:sz w:val="16"/>
                  <w:szCs w:val="18"/>
                  <w:u w:val="single"/>
                </w:rPr>
                <w:t>www.coface.com</w:t>
              </w:r>
            </w:hyperlink>
          </w:p>
          <w:p w:rsidR="00D51331" w:rsidRPr="00FA67E9" w:rsidRDefault="00D51331" w:rsidP="007D36CE">
            <w:pPr>
              <w:spacing w:before="60" w:after="60" w:line="240" w:lineRule="atLeast"/>
              <w:ind w:right="113"/>
              <w:jc w:val="center"/>
              <w:rPr>
                <w:rFonts w:ascii="Arial" w:hAnsi="Arial" w:cs="Arial"/>
                <w:color w:val="0000FF"/>
                <w:sz w:val="16"/>
                <w:szCs w:val="18"/>
                <w:u w:val="single"/>
              </w:rPr>
            </w:pPr>
            <w:r>
              <w:rPr>
                <w:noProof/>
                <w:sz w:val="22"/>
                <w:u w:val="single"/>
                <w:lang w:val="en-US" w:eastAsia="en-US"/>
              </w:rPr>
              <w:drawing>
                <wp:anchor distT="0" distB="0" distL="114300" distR="114300" simplePos="0" relativeHeight="251657728" behindDoc="0" locked="0" layoutInCell="1" allowOverlap="1">
                  <wp:simplePos x="0" y="0"/>
                  <wp:positionH relativeFrom="column">
                    <wp:posOffset>4621530</wp:posOffset>
                  </wp:positionH>
                  <wp:positionV relativeFrom="paragraph">
                    <wp:posOffset>9525</wp:posOffset>
                  </wp:positionV>
                  <wp:extent cx="519430" cy="514350"/>
                  <wp:effectExtent l="0" t="0" r="0" b="0"/>
                  <wp:wrapNone/>
                  <wp:docPr id="7" name="Image 7"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FA-listed-emblems_black"/>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430" cy="514350"/>
                          </a:xfrm>
                          <a:prstGeom prst="rect">
                            <a:avLst/>
                          </a:prstGeom>
                          <a:noFill/>
                        </pic:spPr>
                      </pic:pic>
                    </a:graphicData>
                  </a:graphic>
                </wp:anchor>
              </w:drawing>
            </w:r>
          </w:p>
          <w:p w:rsidR="00D51331" w:rsidRPr="00FA67E9" w:rsidRDefault="00D51331" w:rsidP="007D36CE">
            <w:pPr>
              <w:tabs>
                <w:tab w:val="left" w:pos="8202"/>
              </w:tabs>
              <w:autoSpaceDE w:val="0"/>
              <w:autoSpaceDN w:val="0"/>
              <w:adjustRightInd w:val="0"/>
              <w:spacing w:line="240" w:lineRule="atLeast"/>
              <w:ind w:left="348" w:right="1587"/>
              <w:jc w:val="right"/>
              <w:rPr>
                <w:rFonts w:ascii="Arial" w:hAnsi="Arial" w:cs="Arial"/>
                <w:sz w:val="16"/>
                <w:szCs w:val="18"/>
              </w:rPr>
            </w:pPr>
            <w:r>
              <w:rPr>
                <w:rFonts w:ascii="Arial" w:hAnsi="Arial" w:cs="Arial"/>
                <w:sz w:val="16"/>
                <w:szCs w:val="18"/>
              </w:rPr>
              <w:t>Coface SA. nalazi se na listingu odeljka A berze Euronext Paris</w:t>
            </w:r>
          </w:p>
          <w:p w:rsidR="00D51331" w:rsidRPr="00FA67E9" w:rsidRDefault="00D51331" w:rsidP="007D36CE">
            <w:pPr>
              <w:tabs>
                <w:tab w:val="left" w:pos="8202"/>
              </w:tabs>
              <w:autoSpaceDE w:val="0"/>
              <w:autoSpaceDN w:val="0"/>
              <w:adjustRightInd w:val="0"/>
              <w:spacing w:line="240" w:lineRule="atLeast"/>
              <w:ind w:left="348" w:right="1587"/>
              <w:jc w:val="right"/>
              <w:rPr>
                <w:rFonts w:ascii="Arial" w:hAnsi="Arial" w:cs="Arial"/>
                <w:sz w:val="16"/>
                <w:szCs w:val="18"/>
              </w:rPr>
            </w:pPr>
            <w:r>
              <w:rPr>
                <w:rFonts w:ascii="Arial" w:hAnsi="Arial" w:cs="Arial"/>
                <w:sz w:val="16"/>
                <w:szCs w:val="18"/>
              </w:rPr>
              <w:t>ISIN: FR0010667147 / Tiker: COFA</w:t>
            </w:r>
          </w:p>
          <w:p w:rsidR="00D51331" w:rsidRPr="00FA67E9" w:rsidRDefault="00D51331" w:rsidP="007D36CE">
            <w:pPr>
              <w:autoSpaceDE w:val="0"/>
              <w:autoSpaceDN w:val="0"/>
              <w:adjustRightInd w:val="0"/>
              <w:spacing w:line="240" w:lineRule="atLeast"/>
              <w:ind w:right="1587"/>
              <w:jc w:val="right"/>
              <w:rPr>
                <w:rFonts w:ascii="Arial" w:hAnsi="Arial" w:cs="Arial"/>
                <w:sz w:val="16"/>
                <w:szCs w:val="18"/>
              </w:rPr>
            </w:pPr>
          </w:p>
          <w:p w:rsidR="00D51331" w:rsidRPr="00FA67E9" w:rsidRDefault="00D51331" w:rsidP="007D36CE">
            <w:pPr>
              <w:spacing w:before="60" w:after="60"/>
              <w:ind w:right="113"/>
              <w:jc w:val="center"/>
              <w:rPr>
                <w:rFonts w:ascii="Arial" w:hAnsi="Arial" w:cs="Arial"/>
                <w:sz w:val="16"/>
                <w:szCs w:val="18"/>
                <w:u w:val="single"/>
              </w:rPr>
            </w:pPr>
          </w:p>
        </w:tc>
      </w:tr>
    </w:tbl>
    <w:p w:rsidR="00D51331" w:rsidRPr="00FA67E9" w:rsidRDefault="00D51331" w:rsidP="00D51331">
      <w:pPr>
        <w:suppressAutoHyphens/>
        <w:spacing w:line="270" w:lineRule="exact"/>
        <w:jc w:val="both"/>
        <w:rPr>
          <w:rFonts w:ascii="Arial" w:hAnsi="Arial" w:cs="Arial"/>
          <w:bCs/>
          <w:color w:val="000000"/>
          <w:sz w:val="20"/>
          <w:szCs w:val="20"/>
        </w:rPr>
      </w:pPr>
    </w:p>
    <w:p w:rsidR="00D51331" w:rsidRPr="00FA67E9" w:rsidRDefault="00D51331" w:rsidP="00D51331">
      <w:pPr>
        <w:rPr>
          <w:rFonts w:ascii="Arial" w:hAnsi="Arial" w:cs="Arial"/>
          <w:b/>
          <w:iCs/>
          <w:sz w:val="14"/>
          <w:szCs w:val="20"/>
        </w:rPr>
      </w:pPr>
    </w:p>
    <w:p w:rsidR="00D51331" w:rsidRPr="00FA67E9" w:rsidRDefault="00D51331" w:rsidP="00D51331">
      <w:pPr>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p>
    <w:p w:rsidR="00D51331" w:rsidRPr="00FA67E9" w:rsidRDefault="00D51331" w:rsidP="00D51331">
      <w:pPr>
        <w:spacing w:line="180" w:lineRule="exact"/>
        <w:jc w:val="both"/>
        <w:rPr>
          <w:rFonts w:ascii="Arial" w:hAnsi="Arial" w:cs="Arial"/>
          <w:b/>
          <w:iCs/>
          <w:sz w:val="14"/>
          <w:szCs w:val="20"/>
        </w:rPr>
      </w:pPr>
      <w:r>
        <w:rPr>
          <w:rFonts w:ascii="Arial" w:hAnsi="Arial" w:cs="Arial"/>
          <w:b/>
          <w:bCs/>
          <w:sz w:val="14"/>
          <w:szCs w:val="20"/>
        </w:rPr>
        <w:t xml:space="preserve">ODRICANJE ODGOVORNOSTI - </w:t>
      </w:r>
      <w:r>
        <w:rPr>
          <w:rFonts w:ascii="Arial" w:hAnsi="Arial" w:cs="Arial"/>
          <w:i/>
          <w:iCs/>
          <w:sz w:val="14"/>
          <w:szCs w:val="20"/>
        </w:rPr>
        <w:t>Određene izjave koje se pojavljuju u ovom saopštenju za javnost mogu da sadrže prognoze koje se u velikoj meri odnose na buduće događaje, trendove, projekte ili ciljeve.Po prirodi, te prognoze uključuju identifikovane ili neidentifikovane rizike i neizvesnosti, a na njih može da utiče mnogo faktora koji bi mogli da dovesti do značajnog neslaganja između stvarnih rezultata i onih koji su navedeni u ovim izjavama.Molimo da pogledate odeljak 2.4 „Izveštaj predsednika Upravnog odbora o korporativnom upravljanju, internoj kontroli kontrole i proceduri upravljanja rizicima</w:t>
      </w:r>
      <w:r>
        <w:rPr>
          <w:rFonts w:ascii="Arial" w:hAnsi="Arial" w:cs="Arial"/>
          <w:sz w:val="14"/>
          <w:szCs w:val="20"/>
        </w:rPr>
        <w:t>“,</w:t>
      </w:r>
      <w:r>
        <w:rPr>
          <w:rFonts w:ascii="Arial" w:hAnsi="Arial" w:cs="Arial"/>
          <w:i/>
          <w:iCs/>
          <w:sz w:val="14"/>
          <w:szCs w:val="20"/>
        </w:rPr>
        <w:t xml:space="preserve"> kao i poglavlje 5 „Glavni faktori rizika i upravljanje njima u okviru Grupe</w:t>
      </w:r>
      <w:r>
        <w:rPr>
          <w:rFonts w:ascii="Arial" w:hAnsi="Arial" w:cs="Arial"/>
          <w:sz w:val="14"/>
          <w:szCs w:val="20"/>
        </w:rPr>
        <w:t xml:space="preserve">“ </w:t>
      </w:r>
      <w:r>
        <w:rPr>
          <w:rFonts w:ascii="Arial" w:hAnsi="Arial" w:cs="Arial"/>
          <w:i/>
          <w:iCs/>
          <w:sz w:val="14"/>
          <w:szCs w:val="20"/>
        </w:rPr>
        <w:t>iz Prijavnog dokumenta za 2014. godinu koju je Grupa Coface podnela AMF-u 13. aprila 2015. pod rednim brojemR.15-019 u cilju dobijanja opisa pojedinih važnih faktora, rizika i neizvesnosti koji bi mogli da utiču na poslovanje Grupe Coface.Grupa Coface ne priznaje bilo kakvu nameru ili obavezu da objavi aažuriranu verziju ovih predviđanja ili pruži nove informacije o budućim događajima ili bilo kojim drugim okolnostima.</w:t>
      </w:r>
      <w:r>
        <w:rPr>
          <w:rFonts w:ascii="Arial" w:hAnsi="Arial" w:cs="Arial"/>
          <w:sz w:val="14"/>
          <w:szCs w:val="20"/>
        </w:rPr>
        <w:t> </w:t>
      </w:r>
    </w:p>
    <w:p w:rsidR="00D51331" w:rsidRPr="00FA67E9" w:rsidRDefault="00D51331" w:rsidP="00D51331">
      <w:pPr>
        <w:rPr>
          <w:rFonts w:ascii="Arial" w:hAnsi="Arial" w:cs="Arial"/>
          <w:sz w:val="20"/>
          <w:szCs w:val="20"/>
        </w:rPr>
      </w:pPr>
    </w:p>
    <w:p w:rsidR="00D51331" w:rsidRPr="00FA67E9" w:rsidRDefault="00D51331" w:rsidP="00D51331">
      <w:pPr>
        <w:rPr>
          <w:rFonts w:ascii="Arial" w:hAnsi="Arial" w:cs="Arial"/>
          <w:sz w:val="20"/>
          <w:szCs w:val="20"/>
        </w:rPr>
      </w:pPr>
    </w:p>
    <w:p w:rsidR="00537212" w:rsidRPr="00D51331" w:rsidRDefault="00537212" w:rsidP="00537212">
      <w:pPr>
        <w:suppressAutoHyphens/>
        <w:spacing w:line="270" w:lineRule="exact"/>
        <w:jc w:val="both"/>
        <w:rPr>
          <w:rFonts w:ascii="Arial" w:hAnsi="Arial" w:cs="Arial"/>
          <w:sz w:val="14"/>
          <w:szCs w:val="20"/>
        </w:rPr>
      </w:pPr>
    </w:p>
    <w:p w:rsidR="00537212" w:rsidRPr="00D51331" w:rsidRDefault="00537212" w:rsidP="00537212">
      <w:pPr>
        <w:pStyle w:val="Footer"/>
        <w:suppressAutoHyphens/>
        <w:spacing w:line="270" w:lineRule="exact"/>
        <w:ind w:right="360"/>
        <w:rPr>
          <w:rFonts w:ascii="Arial" w:hAnsi="Arial" w:cs="Arial"/>
          <w:sz w:val="18"/>
          <w:szCs w:val="18"/>
        </w:rPr>
      </w:pPr>
    </w:p>
    <w:p w:rsidR="00537212" w:rsidRPr="00D51331" w:rsidRDefault="00537212" w:rsidP="00537212"/>
    <w:p w:rsidR="00537212" w:rsidRPr="00D51331" w:rsidRDefault="00537212" w:rsidP="007C3993">
      <w:pPr>
        <w:suppressAutoHyphens/>
        <w:spacing w:before="180" w:after="120" w:line="270" w:lineRule="exact"/>
        <w:ind w:left="720"/>
        <w:jc w:val="center"/>
        <w:rPr>
          <w:rFonts w:ascii="Arial" w:hAnsi="Arial" w:cs="Arial"/>
          <w:b/>
          <w:bCs/>
          <w:color w:val="000000"/>
          <w:sz w:val="20"/>
          <w:szCs w:val="20"/>
        </w:rPr>
      </w:pPr>
    </w:p>
    <w:p w:rsidR="007C3993" w:rsidRPr="002F62E5" w:rsidRDefault="000B3C18" w:rsidP="0087283E">
      <w:pPr>
        <w:suppressAutoHyphens/>
        <w:spacing w:before="180" w:after="120" w:line="270" w:lineRule="exact"/>
        <w:rPr>
          <w:rFonts w:ascii="Arial" w:hAnsi="Arial" w:cs="Arial"/>
          <w:b/>
          <w:bCs/>
          <w:color w:val="000000"/>
          <w:sz w:val="20"/>
          <w:szCs w:val="20"/>
        </w:rPr>
      </w:pPr>
      <w:r>
        <w:rPr>
          <w:rFonts w:ascii="Arial" w:hAnsi="Arial" w:cs="Arial"/>
          <w:b/>
          <w:bCs/>
          <w:color w:val="000000"/>
          <w:sz w:val="20"/>
          <w:szCs w:val="20"/>
        </w:rPr>
        <w:t>PRILOG Tabela usaglašavanja:</w:t>
      </w:r>
      <w:r w:rsidR="0077375A">
        <w:rPr>
          <w:rFonts w:ascii="Arial" w:hAnsi="Arial" w:cs="Arial"/>
          <w:b/>
          <w:bCs/>
          <w:color w:val="000000"/>
          <w:sz w:val="20"/>
          <w:szCs w:val="20"/>
        </w:rPr>
        <w:t xml:space="preserve"> </w:t>
      </w:r>
      <w:r>
        <w:rPr>
          <w:rFonts w:ascii="Arial" w:hAnsi="Arial" w:cs="Arial"/>
          <w:b/>
          <w:bCs/>
          <w:color w:val="000000"/>
          <w:sz w:val="20"/>
          <w:szCs w:val="20"/>
        </w:rPr>
        <w:t>Operativni prihod bez korigovanih stavki</w:t>
      </w:r>
    </w:p>
    <w:p w:rsidR="007C3993" w:rsidRPr="002F62E5" w:rsidRDefault="007C3993" w:rsidP="007C3993">
      <w:pPr>
        <w:suppressAutoHyphens/>
        <w:spacing w:before="180" w:after="120" w:line="270" w:lineRule="exact"/>
        <w:rPr>
          <w:rFonts w:ascii="Arial" w:hAnsi="Arial" w:cs="Arial"/>
          <w:b/>
          <w:bCs/>
          <w:color w:val="000000"/>
          <w:sz w:val="20"/>
          <w:szCs w:val="20"/>
        </w:rPr>
      </w:pPr>
    </w:p>
    <w:tbl>
      <w:tblPr>
        <w:tblW w:w="7726" w:type="dxa"/>
        <w:jc w:val="center"/>
        <w:tblInd w:w="108" w:type="dxa"/>
        <w:tblLook w:val="04A0"/>
      </w:tblPr>
      <w:tblGrid>
        <w:gridCol w:w="375"/>
        <w:gridCol w:w="336"/>
        <w:gridCol w:w="5397"/>
        <w:gridCol w:w="858"/>
        <w:gridCol w:w="809"/>
      </w:tblGrid>
      <w:tr w:rsidR="00A75FB2" w:rsidRPr="008E2C5B" w:rsidTr="00A75FB2">
        <w:trPr>
          <w:trHeight w:val="765"/>
          <w:jc w:val="center"/>
        </w:trPr>
        <w:tc>
          <w:tcPr>
            <w:tcW w:w="375" w:type="dxa"/>
            <w:tcBorders>
              <w:top w:val="nil"/>
              <w:left w:val="nil"/>
              <w:bottom w:val="nil"/>
              <w:right w:val="nil"/>
            </w:tcBorders>
            <w:shd w:val="clear" w:color="000000" w:fill="03365F"/>
            <w:vAlign w:val="center"/>
            <w:hideMark/>
          </w:tcPr>
          <w:p w:rsidR="00A75FB2" w:rsidRPr="008E2C5B" w:rsidRDefault="00A75FB2" w:rsidP="008E2C5B">
            <w:pPr>
              <w:widowControl/>
              <w:jc w:val="center"/>
              <w:rPr>
                <w:rFonts w:ascii="Arial Narrow" w:eastAsia="Times New Roman" w:hAnsi="Arial Narrow" w:cs="Times New Roman"/>
                <w:color w:val="FFFFFF"/>
                <w:sz w:val="20"/>
                <w:szCs w:val="20"/>
              </w:rPr>
            </w:pPr>
            <w:r>
              <w:rPr>
                <w:rFonts w:ascii="Arial Narrow" w:eastAsia="Times New Roman" w:hAnsi="Arial Narrow" w:cs="Times New Roman"/>
                <w:color w:val="FFFFFF"/>
                <w:sz w:val="20"/>
                <w:szCs w:val="20"/>
              </w:rPr>
              <w:t> </w:t>
            </w:r>
          </w:p>
        </w:tc>
        <w:tc>
          <w:tcPr>
            <w:tcW w:w="336" w:type="dxa"/>
            <w:tcBorders>
              <w:top w:val="nil"/>
              <w:left w:val="nil"/>
              <w:bottom w:val="nil"/>
              <w:right w:val="nil"/>
            </w:tcBorders>
            <w:shd w:val="clear" w:color="000000" w:fill="03365F"/>
            <w:vAlign w:val="center"/>
            <w:hideMark/>
          </w:tcPr>
          <w:p w:rsidR="00A75FB2" w:rsidRPr="008E2C5B" w:rsidRDefault="00A75FB2" w:rsidP="008E2C5B">
            <w:pPr>
              <w:widowControl/>
              <w:jc w:val="center"/>
              <w:rPr>
                <w:rFonts w:ascii="Arial Narrow" w:eastAsia="Times New Roman" w:hAnsi="Arial Narrow" w:cs="Times New Roman"/>
                <w:color w:val="FFFFFF"/>
                <w:sz w:val="20"/>
                <w:szCs w:val="20"/>
              </w:rPr>
            </w:pPr>
            <w:r>
              <w:rPr>
                <w:rFonts w:ascii="Arial Narrow" w:eastAsia="Times New Roman" w:hAnsi="Arial Narrow" w:cs="Times New Roman"/>
                <w:color w:val="FFFFFF"/>
                <w:sz w:val="20"/>
                <w:szCs w:val="20"/>
              </w:rPr>
              <w:t> </w:t>
            </w:r>
          </w:p>
        </w:tc>
        <w:tc>
          <w:tcPr>
            <w:tcW w:w="5397" w:type="dxa"/>
            <w:tcBorders>
              <w:top w:val="nil"/>
              <w:left w:val="nil"/>
              <w:bottom w:val="nil"/>
              <w:right w:val="nil"/>
            </w:tcBorders>
            <w:shd w:val="clear" w:color="000000" w:fill="03365F"/>
            <w:noWrap/>
            <w:vAlign w:val="center"/>
            <w:hideMark/>
          </w:tcPr>
          <w:p w:rsidR="00A75FB2" w:rsidRPr="008E2C5B" w:rsidRDefault="00A75FB2" w:rsidP="008E2C5B">
            <w:pPr>
              <w:widowControl/>
              <w:jc w:val="center"/>
              <w:rPr>
                <w:rFonts w:ascii="Arial Narrow" w:eastAsia="Times New Roman" w:hAnsi="Arial Narrow" w:cs="Times New Roman"/>
                <w:color w:val="FFFFFF"/>
                <w:sz w:val="20"/>
                <w:szCs w:val="20"/>
              </w:rPr>
            </w:pPr>
            <w:r>
              <w:rPr>
                <w:rFonts w:ascii="Arial Narrow" w:eastAsia="Times New Roman" w:hAnsi="Arial Narrow" w:cs="Times New Roman"/>
                <w:color w:val="FFFFFF"/>
                <w:sz w:val="20"/>
                <w:szCs w:val="20"/>
              </w:rPr>
              <w:t>u hiljadama evra</w:t>
            </w:r>
          </w:p>
        </w:tc>
        <w:tc>
          <w:tcPr>
            <w:tcW w:w="809" w:type="dxa"/>
            <w:tcBorders>
              <w:top w:val="nil"/>
              <w:left w:val="nil"/>
              <w:bottom w:val="nil"/>
              <w:right w:val="nil"/>
            </w:tcBorders>
            <w:shd w:val="clear" w:color="000000" w:fill="03365F"/>
            <w:vAlign w:val="center"/>
            <w:hideMark/>
          </w:tcPr>
          <w:p w:rsidR="00A75FB2" w:rsidRPr="008E2C5B" w:rsidRDefault="00A75FB2" w:rsidP="008E2C5B">
            <w:pPr>
              <w:widowControl/>
              <w:jc w:val="center"/>
              <w:rPr>
                <w:rFonts w:ascii="Arial Narrow" w:eastAsia="Times New Roman" w:hAnsi="Arial Narrow" w:cs="Times New Roman"/>
                <w:color w:val="FFFFFF"/>
                <w:sz w:val="16"/>
                <w:szCs w:val="16"/>
              </w:rPr>
            </w:pPr>
            <w:r>
              <w:rPr>
                <w:rFonts w:ascii="Arial Narrow" w:eastAsia="Times New Roman" w:hAnsi="Arial Narrow" w:cs="Times New Roman"/>
                <w:color w:val="FFFFFF"/>
                <w:sz w:val="16"/>
                <w:szCs w:val="16"/>
              </w:rPr>
              <w:t>2014. korigovano prema IFRIC 21</w:t>
            </w:r>
          </w:p>
        </w:tc>
        <w:tc>
          <w:tcPr>
            <w:tcW w:w="809" w:type="dxa"/>
            <w:tcBorders>
              <w:top w:val="nil"/>
              <w:left w:val="nil"/>
              <w:bottom w:val="nil"/>
              <w:right w:val="nil"/>
            </w:tcBorders>
            <w:shd w:val="clear" w:color="000000" w:fill="03365F"/>
            <w:vAlign w:val="center"/>
            <w:hideMark/>
          </w:tcPr>
          <w:p w:rsidR="00A75FB2" w:rsidRPr="008E2C5B" w:rsidRDefault="00A75FB2" w:rsidP="008E2C5B">
            <w:pPr>
              <w:widowControl/>
              <w:jc w:val="center"/>
              <w:rPr>
                <w:rFonts w:ascii="Arial Narrow" w:eastAsia="Times New Roman" w:hAnsi="Arial Narrow" w:cs="Times New Roman"/>
                <w:color w:val="FFFFFF"/>
                <w:sz w:val="16"/>
                <w:szCs w:val="16"/>
              </w:rPr>
            </w:pPr>
            <w:r>
              <w:rPr>
                <w:rFonts w:ascii="Arial Narrow" w:eastAsia="Times New Roman" w:hAnsi="Arial Narrow" w:cs="Times New Roman"/>
                <w:color w:val="FFFFFF"/>
                <w:sz w:val="16"/>
                <w:szCs w:val="16"/>
              </w:rPr>
              <w:t>2015.</w:t>
            </w:r>
            <w:r>
              <w:rPr>
                <w:rFonts w:ascii="Arial Narrow" w:eastAsia="Times New Roman" w:hAnsi="Arial Narrow" w:cs="Times New Roman"/>
                <w:color w:val="FFFFFF"/>
                <w:sz w:val="16"/>
                <w:szCs w:val="16"/>
              </w:rPr>
              <w:br/>
              <w:t>objavljeno</w:t>
            </w:r>
          </w:p>
        </w:tc>
      </w:tr>
      <w:tr w:rsidR="00A75FB2" w:rsidRPr="008E2C5B" w:rsidTr="00A75FB2">
        <w:trPr>
          <w:trHeight w:val="255"/>
          <w:jc w:val="center"/>
        </w:trPr>
        <w:tc>
          <w:tcPr>
            <w:tcW w:w="375" w:type="dxa"/>
            <w:tcBorders>
              <w:top w:val="nil"/>
              <w:left w:val="nil"/>
              <w:bottom w:val="nil"/>
              <w:right w:val="nil"/>
            </w:tcBorders>
            <w:shd w:val="clear" w:color="000000" w:fill="EFF7F1"/>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733" w:type="dxa"/>
            <w:gridSpan w:val="2"/>
            <w:tcBorders>
              <w:top w:val="nil"/>
              <w:left w:val="nil"/>
              <w:bottom w:val="nil"/>
              <w:right w:val="nil"/>
            </w:tcBorders>
            <w:shd w:val="clear" w:color="000000" w:fill="EFF7F1"/>
            <w:noWrap/>
            <w:vAlign w:val="center"/>
            <w:hideMark/>
          </w:tcPr>
          <w:p w:rsidR="00A75FB2" w:rsidRPr="008E2C5B" w:rsidRDefault="00A75FB2" w:rsidP="008E2C5B">
            <w:pPr>
              <w:widowControl/>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Operativni prihod</w:t>
            </w:r>
          </w:p>
        </w:tc>
        <w:tc>
          <w:tcPr>
            <w:tcW w:w="809" w:type="dxa"/>
            <w:tcBorders>
              <w:top w:val="nil"/>
              <w:left w:val="nil"/>
              <w:bottom w:val="nil"/>
              <w:right w:val="nil"/>
            </w:tcBorders>
            <w:shd w:val="clear" w:color="000000" w:fill="EFF7F1"/>
            <w:noWrap/>
            <w:vAlign w:val="center"/>
            <w:hideMark/>
          </w:tcPr>
          <w:p w:rsidR="00A75FB2" w:rsidRPr="008E2C5B" w:rsidRDefault="00A75FB2" w:rsidP="006B252C">
            <w:pPr>
              <w:widowControl/>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199.023</w:t>
            </w:r>
          </w:p>
        </w:tc>
        <w:tc>
          <w:tcPr>
            <w:tcW w:w="809" w:type="dxa"/>
            <w:tcBorders>
              <w:top w:val="nil"/>
              <w:left w:val="nil"/>
              <w:bottom w:val="nil"/>
              <w:right w:val="nil"/>
            </w:tcBorders>
            <w:shd w:val="clear" w:color="000000" w:fill="EFF7F1"/>
            <w:noWrap/>
            <w:vAlign w:val="center"/>
            <w:hideMark/>
          </w:tcPr>
          <w:p w:rsidR="00A75FB2" w:rsidRPr="008E2C5B" w:rsidRDefault="00A75FB2" w:rsidP="008E2C5B">
            <w:pPr>
              <w:widowControl/>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192.297</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733" w:type="dxa"/>
            <w:gridSpan w:val="2"/>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Finansijski troškovi</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-14.975</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-18.491</w:t>
            </w:r>
          </w:p>
        </w:tc>
      </w:tr>
      <w:tr w:rsidR="00A75FB2" w:rsidRPr="008E2C5B" w:rsidTr="00A75FB2">
        <w:trPr>
          <w:trHeight w:val="255"/>
          <w:jc w:val="center"/>
        </w:trPr>
        <w:tc>
          <w:tcPr>
            <w:tcW w:w="375" w:type="dxa"/>
            <w:tcBorders>
              <w:top w:val="nil"/>
              <w:left w:val="nil"/>
              <w:bottom w:val="nil"/>
              <w:right w:val="nil"/>
            </w:tcBorders>
            <w:shd w:val="clear" w:color="000000" w:fill="DDEFE2"/>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733" w:type="dxa"/>
            <w:gridSpan w:val="2"/>
            <w:tcBorders>
              <w:top w:val="nil"/>
              <w:left w:val="nil"/>
              <w:bottom w:val="nil"/>
              <w:right w:val="nil"/>
            </w:tcBorders>
            <w:shd w:val="clear" w:color="000000" w:fill="DDEFE2"/>
            <w:noWrap/>
            <w:vAlign w:val="center"/>
            <w:hideMark/>
          </w:tcPr>
          <w:p w:rsidR="00A75FB2" w:rsidRPr="008E2C5B" w:rsidRDefault="00A75FB2" w:rsidP="008E2C5B">
            <w:pPr>
              <w:widowControl/>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Operativni prihod uključujući finansijske troškove</w:t>
            </w:r>
          </w:p>
        </w:tc>
        <w:tc>
          <w:tcPr>
            <w:tcW w:w="809" w:type="dxa"/>
            <w:tcBorders>
              <w:top w:val="nil"/>
              <w:left w:val="nil"/>
              <w:bottom w:val="nil"/>
              <w:right w:val="nil"/>
            </w:tcBorders>
            <w:shd w:val="clear" w:color="000000" w:fill="DDEFE2"/>
            <w:noWrap/>
            <w:vAlign w:val="center"/>
            <w:hideMark/>
          </w:tcPr>
          <w:p w:rsidR="00A75FB2" w:rsidRPr="008E2C5B" w:rsidRDefault="00A75FB2" w:rsidP="006B252C">
            <w:pPr>
              <w:widowControl/>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184.048</w:t>
            </w:r>
          </w:p>
        </w:tc>
        <w:tc>
          <w:tcPr>
            <w:tcW w:w="809" w:type="dxa"/>
            <w:tcBorders>
              <w:top w:val="nil"/>
              <w:left w:val="nil"/>
              <w:bottom w:val="nil"/>
              <w:right w:val="nil"/>
            </w:tcBorders>
            <w:shd w:val="clear" w:color="000000" w:fill="DDEFE2"/>
            <w:noWrap/>
            <w:vAlign w:val="center"/>
            <w:hideMark/>
          </w:tcPr>
          <w:p w:rsidR="00A75FB2" w:rsidRPr="008E2C5B" w:rsidRDefault="00A75FB2" w:rsidP="008E2C5B">
            <w:pPr>
              <w:widowControl/>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173.806</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733" w:type="dxa"/>
            <w:gridSpan w:val="2"/>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i/>
                <w:iCs/>
                <w:color w:val="000000"/>
                <w:sz w:val="20"/>
                <w:szCs w:val="20"/>
                <w:u w:val="single"/>
              </w:rPr>
            </w:pPr>
            <w:r>
              <w:rPr>
                <w:rFonts w:ascii="Arial Narrow" w:eastAsia="Times New Roman" w:hAnsi="Arial Narrow" w:cs="Times New Roman"/>
                <w:i/>
                <w:iCs/>
                <w:color w:val="000000"/>
                <w:sz w:val="20"/>
                <w:szCs w:val="20"/>
                <w:u w:val="single"/>
              </w:rPr>
              <w:t>Ostali operativni prihod / troškovi</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w:t>
            </w:r>
          </w:p>
        </w:tc>
      </w:tr>
      <w:tr w:rsidR="00A75FB2" w:rsidRPr="008E2C5B" w:rsidTr="00A75FB2">
        <w:trPr>
          <w:trHeight w:val="510"/>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397" w:type="dxa"/>
            <w:tcBorders>
              <w:top w:val="nil"/>
              <w:left w:val="nil"/>
              <w:bottom w:val="dashed" w:sz="4" w:space="0" w:color="D9D9D9"/>
              <w:right w:val="nil"/>
            </w:tcBorders>
            <w:shd w:val="clear" w:color="000000" w:fill="FFFFFF"/>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IPO troškovi (uključujući odgovarajući doprinos za zaposlene koji imaju akcije u kompaniji)</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7.962</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397" w:type="dxa"/>
            <w:tcBorders>
              <w:top w:val="nil"/>
              <w:left w:val="nil"/>
              <w:bottom w:val="dashed" w:sz="4" w:space="0" w:color="D9D9D9"/>
              <w:right w:val="nil"/>
            </w:tcBorders>
            <w:shd w:val="clear" w:color="000000" w:fill="FFFFFF"/>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Coface Re</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1.777</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397" w:type="dxa"/>
            <w:tcBorders>
              <w:top w:val="nil"/>
              <w:left w:val="nil"/>
              <w:bottom w:val="dashed" w:sz="4" w:space="0" w:color="D9D9D9"/>
              <w:right w:val="nil"/>
            </w:tcBorders>
            <w:shd w:val="clear" w:color="000000" w:fill="FFFFFF"/>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SBCE - Troškovi restrukturiranja</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1.957</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r>
      <w:tr w:rsidR="00A75FB2" w:rsidRPr="008E2C5B" w:rsidTr="00A75FB2">
        <w:trPr>
          <w:trHeight w:val="510"/>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397" w:type="dxa"/>
            <w:tcBorders>
              <w:top w:val="nil"/>
              <w:left w:val="nil"/>
              <w:bottom w:val="dashed" w:sz="4" w:space="0" w:color="D9D9D9"/>
              <w:right w:val="nil"/>
            </w:tcBorders>
            <w:shd w:val="clear" w:color="000000" w:fill="FFFFFF"/>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Troškovi otkupa portfolija vezani za restrukturiranje distributivne mreže u SAD</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1.889</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397" w:type="dxa"/>
            <w:tcBorders>
              <w:top w:val="nil"/>
              <w:left w:val="nil"/>
              <w:bottom w:val="dashed" w:sz="4" w:space="0" w:color="D9D9D9"/>
              <w:right w:val="nil"/>
            </w:tcBorders>
            <w:shd w:val="clear" w:color="000000" w:fill="FFFFFF"/>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Taksa Coface Re</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326</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397" w:type="dxa"/>
            <w:tcBorders>
              <w:top w:val="nil"/>
              <w:left w:val="nil"/>
              <w:bottom w:val="dashed" w:sz="4" w:space="0" w:color="D9D9D9"/>
              <w:right w:val="nil"/>
            </w:tcBorders>
            <w:shd w:val="clear" w:color="000000" w:fill="FFFFFF"/>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Storniranje pružanja restrukturiranja za Italiju</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-1.534</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397" w:type="dxa"/>
            <w:tcBorders>
              <w:top w:val="nil"/>
              <w:left w:val="nil"/>
              <w:bottom w:val="dashed" w:sz="4" w:space="0" w:color="D9D9D9"/>
              <w:right w:val="nil"/>
            </w:tcBorders>
            <w:shd w:val="clear" w:color="000000" w:fill="FFFFFF"/>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Ostali operativni troškovi</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113</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3.275</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397" w:type="dxa"/>
            <w:tcBorders>
              <w:top w:val="nil"/>
              <w:left w:val="nil"/>
              <w:bottom w:val="dashed" w:sz="4" w:space="0" w:color="D9D9D9"/>
              <w:right w:val="nil"/>
            </w:tcBorders>
            <w:shd w:val="clear" w:color="000000" w:fill="FFFFFF"/>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Ostali operativni prihod</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-338</w:t>
            </w: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-1.258</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397" w:type="dxa"/>
            <w:tcBorders>
              <w:top w:val="nil"/>
              <w:left w:val="nil"/>
              <w:bottom w:val="dashed" w:sz="4" w:space="0" w:color="D9D9D9"/>
              <w:right w:val="nil"/>
            </w:tcBorders>
            <w:shd w:val="clear" w:color="000000" w:fill="FFFFFF"/>
            <w:vAlign w:val="center"/>
            <w:hideMark/>
          </w:tcPr>
          <w:p w:rsidR="00A75FB2" w:rsidRPr="008E2C5B" w:rsidRDefault="00A75FB2" w:rsidP="008E2C5B">
            <w:pPr>
              <w:widowControl/>
              <w:rPr>
                <w:rFonts w:ascii="Arial Narrow" w:eastAsia="Times New Roman" w:hAnsi="Arial Narrow" w:cs="Times New Roman"/>
                <w:color w:val="000000"/>
                <w:sz w:val="20"/>
                <w:szCs w:val="20"/>
              </w:rPr>
            </w:pPr>
          </w:p>
        </w:tc>
        <w:tc>
          <w:tcPr>
            <w:tcW w:w="809" w:type="dxa"/>
            <w:tcBorders>
              <w:top w:val="nil"/>
              <w:left w:val="nil"/>
              <w:bottom w:val="dashed" w:sz="4" w:space="0" w:color="D9D9D9"/>
              <w:right w:val="nil"/>
            </w:tcBorders>
            <w:shd w:val="clear" w:color="000000" w:fill="FFFFFF"/>
            <w:noWrap/>
            <w:vAlign w:val="center"/>
          </w:tcPr>
          <w:p w:rsidR="00A75FB2" w:rsidRPr="008E2C5B" w:rsidRDefault="00A75FB2" w:rsidP="008E2C5B">
            <w:pPr>
              <w:widowControl/>
              <w:jc w:val="right"/>
              <w:rPr>
                <w:rFonts w:ascii="Arial Narrow" w:eastAsia="Times New Roman" w:hAnsi="Arial Narrow" w:cs="Times New Roman"/>
                <w:color w:val="000000"/>
                <w:sz w:val="20"/>
                <w:szCs w:val="20"/>
              </w:rPr>
            </w:pPr>
          </w:p>
        </w:tc>
        <w:tc>
          <w:tcPr>
            <w:tcW w:w="809" w:type="dxa"/>
            <w:tcBorders>
              <w:top w:val="nil"/>
              <w:left w:val="nil"/>
              <w:bottom w:val="dashed" w:sz="4" w:space="0" w:color="D9D9D9"/>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397"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i/>
                <w:iCs/>
                <w:color w:val="808080"/>
                <w:sz w:val="16"/>
                <w:szCs w:val="16"/>
              </w:rPr>
            </w:pPr>
            <w:r>
              <w:rPr>
                <w:rFonts w:ascii="Arial Narrow" w:eastAsia="Times New Roman" w:hAnsi="Arial Narrow" w:cs="Times New Roman"/>
                <w:i/>
                <w:iCs/>
                <w:color w:val="808080"/>
                <w:sz w:val="16"/>
                <w:szCs w:val="16"/>
              </w:rPr>
              <w:t> </w:t>
            </w:r>
          </w:p>
        </w:tc>
        <w:tc>
          <w:tcPr>
            <w:tcW w:w="5733" w:type="dxa"/>
            <w:gridSpan w:val="2"/>
            <w:tcBorders>
              <w:top w:val="nil"/>
              <w:left w:val="nil"/>
              <w:bottom w:val="nil"/>
              <w:right w:val="nil"/>
            </w:tcBorders>
            <w:shd w:val="clear" w:color="000000" w:fill="FFFFFF"/>
            <w:vAlign w:val="center"/>
            <w:hideMark/>
          </w:tcPr>
          <w:p w:rsidR="00A75FB2" w:rsidRPr="008E2C5B" w:rsidRDefault="00A75FB2" w:rsidP="008E2C5B">
            <w:pPr>
              <w:widowControl/>
              <w:jc w:val="right"/>
              <w:rPr>
                <w:rFonts w:ascii="Arial Narrow" w:eastAsia="Times New Roman" w:hAnsi="Arial Narrow" w:cs="Times New Roman"/>
                <w:b/>
                <w:bCs/>
                <w:i/>
                <w:iCs/>
                <w:color w:val="808080"/>
                <w:sz w:val="16"/>
                <w:szCs w:val="16"/>
              </w:rPr>
            </w:pPr>
            <w:r>
              <w:rPr>
                <w:rFonts w:ascii="Arial Narrow" w:eastAsia="Times New Roman" w:hAnsi="Arial Narrow" w:cs="Times New Roman"/>
                <w:b/>
                <w:bCs/>
                <w:i/>
                <w:iCs/>
                <w:color w:val="808080"/>
                <w:sz w:val="16"/>
                <w:szCs w:val="16"/>
              </w:rPr>
              <w:t>UKUPNO Ostali operativni prihod / troškovi</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i/>
                <w:iCs/>
                <w:color w:val="808080"/>
                <w:sz w:val="16"/>
                <w:szCs w:val="16"/>
              </w:rPr>
            </w:pPr>
            <w:r>
              <w:rPr>
                <w:rFonts w:ascii="Arial Narrow" w:eastAsia="Times New Roman" w:hAnsi="Arial Narrow" w:cs="Times New Roman"/>
                <w:i/>
                <w:iCs/>
                <w:color w:val="808080"/>
                <w:sz w:val="16"/>
                <w:szCs w:val="16"/>
              </w:rPr>
              <w:t>9.937</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i/>
                <w:iCs/>
                <w:color w:val="808080"/>
                <w:sz w:val="16"/>
                <w:szCs w:val="16"/>
              </w:rPr>
            </w:pPr>
            <w:r>
              <w:rPr>
                <w:rFonts w:ascii="Arial Narrow" w:eastAsia="Times New Roman" w:hAnsi="Arial Narrow" w:cs="Times New Roman"/>
                <w:i/>
                <w:iCs/>
                <w:color w:val="808080"/>
                <w:sz w:val="16"/>
                <w:szCs w:val="16"/>
              </w:rPr>
              <w:t>4.232</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397"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r>
      <w:tr w:rsidR="00A75FB2" w:rsidRPr="008E2C5B" w:rsidTr="00A75FB2">
        <w:trPr>
          <w:trHeight w:val="255"/>
          <w:jc w:val="center"/>
        </w:trPr>
        <w:tc>
          <w:tcPr>
            <w:tcW w:w="375" w:type="dxa"/>
            <w:tcBorders>
              <w:top w:val="nil"/>
              <w:left w:val="nil"/>
              <w:bottom w:val="nil"/>
              <w:right w:val="nil"/>
            </w:tcBorders>
            <w:shd w:val="clear" w:color="000000" w:fill="9CD0AC"/>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733" w:type="dxa"/>
            <w:gridSpan w:val="2"/>
            <w:tcBorders>
              <w:top w:val="nil"/>
              <w:left w:val="nil"/>
              <w:bottom w:val="nil"/>
              <w:right w:val="nil"/>
            </w:tcBorders>
            <w:shd w:val="clear" w:color="000000" w:fill="9CD0AC"/>
            <w:vAlign w:val="center"/>
            <w:hideMark/>
          </w:tcPr>
          <w:p w:rsidR="00A75FB2" w:rsidRPr="008E2C5B" w:rsidRDefault="00A75FB2" w:rsidP="008E2C5B">
            <w:pPr>
              <w:widowControl/>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Operativni prihod uključujući finansijske troškove</w:t>
            </w:r>
            <w:r>
              <w:rPr>
                <w:rFonts w:ascii="Arial Narrow" w:eastAsia="Times New Roman" w:hAnsi="Arial Narrow" w:cs="Times New Roman"/>
                <w:color w:val="000000"/>
                <w:sz w:val="20"/>
                <w:szCs w:val="20"/>
              </w:rPr>
              <w:br/>
            </w:r>
            <w:r>
              <w:rPr>
                <w:rFonts w:ascii="Arial Narrow" w:eastAsia="Times New Roman" w:hAnsi="Arial Narrow" w:cs="Times New Roman"/>
                <w:b/>
                <w:bCs/>
                <w:color w:val="000000"/>
                <w:sz w:val="20"/>
                <w:szCs w:val="20"/>
              </w:rPr>
              <w:t>i uključujući ostali operativni prihod / troškove</w:t>
            </w:r>
          </w:p>
        </w:tc>
        <w:tc>
          <w:tcPr>
            <w:tcW w:w="809" w:type="dxa"/>
            <w:tcBorders>
              <w:top w:val="nil"/>
              <w:left w:val="nil"/>
              <w:bottom w:val="nil"/>
              <w:right w:val="nil"/>
            </w:tcBorders>
            <w:shd w:val="clear" w:color="000000" w:fill="9CD0AC"/>
            <w:noWrap/>
            <w:vAlign w:val="center"/>
            <w:hideMark/>
          </w:tcPr>
          <w:p w:rsidR="00A75FB2" w:rsidRPr="008E2C5B" w:rsidRDefault="00A75FB2" w:rsidP="006B252C">
            <w:pPr>
              <w:widowControl/>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193.985</w:t>
            </w:r>
          </w:p>
        </w:tc>
        <w:tc>
          <w:tcPr>
            <w:tcW w:w="809" w:type="dxa"/>
            <w:tcBorders>
              <w:top w:val="nil"/>
              <w:left w:val="nil"/>
              <w:bottom w:val="nil"/>
              <w:right w:val="nil"/>
            </w:tcBorders>
            <w:shd w:val="clear" w:color="000000" w:fill="9CD0AC"/>
            <w:noWrap/>
            <w:vAlign w:val="center"/>
            <w:hideMark/>
          </w:tcPr>
          <w:p w:rsidR="00A75FB2" w:rsidRPr="008E2C5B" w:rsidRDefault="00A75FB2" w:rsidP="008E2C5B">
            <w:pPr>
              <w:widowControl/>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178.038</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733" w:type="dxa"/>
            <w:gridSpan w:val="2"/>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i/>
                <w:iCs/>
                <w:color w:val="000000"/>
                <w:sz w:val="20"/>
                <w:szCs w:val="20"/>
                <w:u w:val="single"/>
              </w:rPr>
            </w:pPr>
            <w:r>
              <w:rPr>
                <w:rFonts w:ascii="Arial Narrow" w:eastAsia="Times New Roman" w:hAnsi="Arial Narrow" w:cs="Times New Roman"/>
                <w:i/>
                <w:iCs/>
                <w:color w:val="000000"/>
                <w:sz w:val="20"/>
                <w:szCs w:val="20"/>
                <w:u w:val="single"/>
              </w:rPr>
              <w:t>Korigovane stavke</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i/>
                <w:iCs/>
                <w:color w:val="000000"/>
                <w:sz w:val="20"/>
                <w:szCs w:val="20"/>
                <w:u w:val="single"/>
              </w:rPr>
            </w:pPr>
            <w:r>
              <w:rPr>
                <w:rFonts w:ascii="Arial Narrow" w:eastAsia="Times New Roman" w:hAnsi="Arial Narrow" w:cs="Times New Roman"/>
                <w:i/>
                <w:iCs/>
                <w:color w:val="000000"/>
                <w:sz w:val="20"/>
                <w:szCs w:val="20"/>
                <w:u w:val="single"/>
              </w:rPr>
              <w:t> </w:t>
            </w:r>
          </w:p>
        </w:tc>
        <w:tc>
          <w:tcPr>
            <w:tcW w:w="5397" w:type="dxa"/>
            <w:tcBorders>
              <w:top w:val="nil"/>
              <w:left w:val="nil"/>
              <w:bottom w:val="nil"/>
              <w:right w:val="nil"/>
            </w:tcBorders>
            <w:shd w:val="clear" w:color="000000" w:fill="FFFFFF"/>
            <w:noWrap/>
            <w:vAlign w:val="bottom"/>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Troškovi preseljenja sedišta kompanije</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i/>
                <w:iCs/>
                <w:color w:val="000000"/>
                <w:sz w:val="20"/>
                <w:szCs w:val="20"/>
                <w:u w:val="single"/>
              </w:rPr>
            </w:pPr>
            <w:r>
              <w:rPr>
                <w:rFonts w:ascii="Arial Narrow" w:eastAsia="Times New Roman" w:hAnsi="Arial Narrow" w:cs="Times New Roman"/>
                <w:i/>
                <w:iCs/>
                <w:color w:val="000000"/>
                <w:sz w:val="20"/>
                <w:szCs w:val="20"/>
                <w:u w:val="single"/>
              </w:rPr>
              <w:t> </w:t>
            </w:r>
          </w:p>
        </w:tc>
        <w:tc>
          <w:tcPr>
            <w:tcW w:w="5397" w:type="dxa"/>
            <w:tcBorders>
              <w:top w:val="nil"/>
              <w:left w:val="nil"/>
              <w:bottom w:val="nil"/>
              <w:right w:val="nil"/>
            </w:tcBorders>
            <w:shd w:val="clear" w:color="000000" w:fill="FFFFFF"/>
            <w:noWrap/>
            <w:vAlign w:val="bottom"/>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Eksternalizacija kapitalnih dobitaka</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r>
      <w:tr w:rsidR="00A75FB2" w:rsidRPr="008E2C5B" w:rsidTr="00A75FB2">
        <w:trPr>
          <w:trHeight w:val="255"/>
          <w:jc w:val="center"/>
        </w:trPr>
        <w:tc>
          <w:tcPr>
            <w:tcW w:w="375"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336" w:type="dxa"/>
            <w:tcBorders>
              <w:top w:val="nil"/>
              <w:left w:val="nil"/>
              <w:bottom w:val="nil"/>
              <w:right w:val="nil"/>
            </w:tcBorders>
            <w:shd w:val="clear" w:color="000000" w:fill="FFFFFF"/>
            <w:noWrap/>
            <w:vAlign w:val="center"/>
            <w:hideMark/>
          </w:tcPr>
          <w:p w:rsidR="00A75FB2" w:rsidRPr="008E2C5B" w:rsidRDefault="00A75FB2" w:rsidP="008E2C5B">
            <w:pPr>
              <w:widowControl/>
              <w:rPr>
                <w:rFonts w:ascii="Arial Narrow" w:eastAsia="Times New Roman" w:hAnsi="Arial Narrow" w:cs="Times New Roman"/>
                <w:i/>
                <w:iCs/>
                <w:color w:val="000000"/>
                <w:sz w:val="20"/>
                <w:szCs w:val="20"/>
                <w:u w:val="single"/>
              </w:rPr>
            </w:pPr>
            <w:r>
              <w:rPr>
                <w:rFonts w:ascii="Arial Narrow" w:eastAsia="Times New Roman" w:hAnsi="Arial Narrow" w:cs="Times New Roman"/>
                <w:i/>
                <w:iCs/>
                <w:color w:val="000000"/>
                <w:sz w:val="20"/>
                <w:szCs w:val="20"/>
                <w:u w:val="single"/>
              </w:rPr>
              <w:t> </w:t>
            </w:r>
          </w:p>
        </w:tc>
        <w:tc>
          <w:tcPr>
            <w:tcW w:w="5397" w:type="dxa"/>
            <w:tcBorders>
              <w:top w:val="nil"/>
              <w:left w:val="nil"/>
              <w:bottom w:val="nil"/>
              <w:right w:val="nil"/>
            </w:tcBorders>
            <w:shd w:val="clear" w:color="000000" w:fill="FFFFFF"/>
            <w:noWrap/>
            <w:vAlign w:val="bottom"/>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Kamate za hibridni dug</w:t>
            </w:r>
          </w:p>
        </w:tc>
        <w:tc>
          <w:tcPr>
            <w:tcW w:w="809" w:type="dxa"/>
            <w:tcBorders>
              <w:top w:val="nil"/>
              <w:left w:val="nil"/>
              <w:bottom w:val="nil"/>
              <w:right w:val="nil"/>
            </w:tcBorders>
            <w:shd w:val="clear" w:color="000000" w:fill="FFFFFF"/>
            <w:noWrap/>
            <w:vAlign w:val="center"/>
            <w:hideMark/>
          </w:tcPr>
          <w:p w:rsidR="00A75FB2" w:rsidRPr="008E2C5B" w:rsidRDefault="00A75FB2" w:rsidP="008E2C5B">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12.075</w:t>
            </w:r>
          </w:p>
        </w:tc>
        <w:tc>
          <w:tcPr>
            <w:tcW w:w="809" w:type="dxa"/>
            <w:tcBorders>
              <w:top w:val="nil"/>
              <w:left w:val="nil"/>
              <w:bottom w:val="nil"/>
              <w:right w:val="nil"/>
            </w:tcBorders>
            <w:shd w:val="clear" w:color="000000" w:fill="FFFFFF"/>
            <w:noWrap/>
            <w:vAlign w:val="center"/>
            <w:hideMark/>
          </w:tcPr>
          <w:p w:rsidR="00A75FB2" w:rsidRPr="008E2C5B" w:rsidRDefault="00A75FB2" w:rsidP="006B252C">
            <w:pPr>
              <w:widowControl/>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16.117</w:t>
            </w:r>
          </w:p>
        </w:tc>
      </w:tr>
      <w:tr w:rsidR="00A75FB2" w:rsidRPr="008E2C5B" w:rsidTr="00A75FB2">
        <w:trPr>
          <w:trHeight w:val="255"/>
          <w:jc w:val="center"/>
        </w:trPr>
        <w:tc>
          <w:tcPr>
            <w:tcW w:w="375" w:type="dxa"/>
            <w:tcBorders>
              <w:top w:val="nil"/>
              <w:left w:val="nil"/>
              <w:bottom w:val="nil"/>
              <w:right w:val="nil"/>
            </w:tcBorders>
            <w:shd w:val="clear" w:color="000000" w:fill="61B57C"/>
            <w:noWrap/>
            <w:vAlign w:val="center"/>
            <w:hideMark/>
          </w:tcPr>
          <w:p w:rsidR="00A75FB2" w:rsidRPr="008E2C5B" w:rsidRDefault="00A75FB2" w:rsidP="008E2C5B">
            <w:pPr>
              <w:widowControl/>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w:t>
            </w:r>
          </w:p>
        </w:tc>
        <w:tc>
          <w:tcPr>
            <w:tcW w:w="5733" w:type="dxa"/>
            <w:gridSpan w:val="2"/>
            <w:tcBorders>
              <w:top w:val="nil"/>
              <w:left w:val="nil"/>
              <w:bottom w:val="nil"/>
              <w:right w:val="nil"/>
            </w:tcBorders>
            <w:shd w:val="clear" w:color="000000" w:fill="61B57C"/>
            <w:noWrap/>
            <w:vAlign w:val="center"/>
            <w:hideMark/>
          </w:tcPr>
          <w:p w:rsidR="00A75FB2" w:rsidRPr="008E2C5B" w:rsidRDefault="00A75FB2" w:rsidP="008E2C5B">
            <w:pPr>
              <w:widowControl/>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Operativni prihod bez korigovanih stavki</w:t>
            </w:r>
          </w:p>
        </w:tc>
        <w:tc>
          <w:tcPr>
            <w:tcW w:w="809" w:type="dxa"/>
            <w:tcBorders>
              <w:top w:val="nil"/>
              <w:left w:val="nil"/>
              <w:bottom w:val="nil"/>
              <w:right w:val="nil"/>
            </w:tcBorders>
            <w:shd w:val="clear" w:color="000000" w:fill="61B57C"/>
            <w:noWrap/>
            <w:vAlign w:val="center"/>
            <w:hideMark/>
          </w:tcPr>
          <w:p w:rsidR="00A75FB2" w:rsidRPr="008E2C5B" w:rsidRDefault="00A75FB2" w:rsidP="00D21B75">
            <w:pPr>
              <w:widowControl/>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206.060</w:t>
            </w:r>
          </w:p>
        </w:tc>
        <w:tc>
          <w:tcPr>
            <w:tcW w:w="809" w:type="dxa"/>
            <w:tcBorders>
              <w:top w:val="nil"/>
              <w:left w:val="nil"/>
              <w:bottom w:val="nil"/>
              <w:right w:val="nil"/>
            </w:tcBorders>
            <w:shd w:val="clear" w:color="000000" w:fill="61B57C"/>
            <w:noWrap/>
            <w:vAlign w:val="center"/>
            <w:hideMark/>
          </w:tcPr>
          <w:p w:rsidR="00A75FB2" w:rsidRPr="008E2C5B" w:rsidRDefault="00A75FB2" w:rsidP="00D21B75">
            <w:pPr>
              <w:widowControl/>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194.155</w:t>
            </w:r>
          </w:p>
        </w:tc>
      </w:tr>
    </w:tbl>
    <w:p w:rsidR="000B3C18" w:rsidRDefault="000B3C18" w:rsidP="00FC428E">
      <w:pPr>
        <w:spacing w:line="276" w:lineRule="auto"/>
      </w:pPr>
    </w:p>
    <w:p w:rsidR="000B3C18" w:rsidRDefault="000B3C18" w:rsidP="00FC428E">
      <w:pPr>
        <w:spacing w:line="276" w:lineRule="auto"/>
      </w:pPr>
    </w:p>
    <w:p w:rsidR="00FC428E" w:rsidRDefault="00FC428E" w:rsidP="00FC428E">
      <w:pPr>
        <w:spacing w:line="276" w:lineRule="auto"/>
        <w:rPr>
          <w:rFonts w:ascii="Arial" w:hAnsi="Arial" w:cs="Arial"/>
          <w:bCs/>
          <w:i/>
          <w:color w:val="000000"/>
          <w:sz w:val="16"/>
          <w:szCs w:val="16"/>
        </w:rPr>
      </w:pPr>
      <w:r>
        <w:t>*</w:t>
      </w:r>
      <w:r>
        <w:rPr>
          <w:rFonts w:ascii="Arial" w:hAnsi="Arial" w:cs="Arial"/>
          <w:i/>
          <w:iCs/>
          <w:color w:val="000000"/>
          <w:sz w:val="16"/>
          <w:szCs w:val="16"/>
        </w:rPr>
        <w:t xml:space="preserve"> Objavljeni rezultati za 2014. su korigovani da bi se uzeo u obzir uticaj IFRIC 21</w:t>
      </w:r>
    </w:p>
    <w:p w:rsidR="00A75FB2" w:rsidRPr="006C51EF" w:rsidRDefault="00A75FB2" w:rsidP="00A75FB2">
      <w:pPr>
        <w:suppressAutoHyphens/>
        <w:spacing w:line="276" w:lineRule="auto"/>
        <w:rPr>
          <w:rFonts w:ascii="Arial" w:hAnsi="Arial" w:cs="Arial"/>
          <w:bCs/>
          <w:i/>
          <w:color w:val="000000"/>
          <w:sz w:val="16"/>
          <w:szCs w:val="22"/>
        </w:rPr>
      </w:pPr>
      <w:r>
        <w:rPr>
          <w:rFonts w:ascii="Arial" w:hAnsi="Arial" w:cs="Arial"/>
          <w:i/>
          <w:iCs/>
          <w:color w:val="000000"/>
          <w:sz w:val="16"/>
          <w:szCs w:val="22"/>
        </w:rPr>
        <w:t>Godišnji rezultati za 2014. korigovani iz IFRIC 21 ekvivalentni su rezultatima objavljenim 2014. godine</w:t>
      </w:r>
    </w:p>
    <w:p w:rsidR="00A75FB2" w:rsidRPr="008E2C5B" w:rsidRDefault="00A75FB2" w:rsidP="00FC428E">
      <w:pPr>
        <w:spacing w:line="276" w:lineRule="auto"/>
        <w:rPr>
          <w:rFonts w:ascii="Arial" w:hAnsi="Arial" w:cs="Arial"/>
          <w:bCs/>
          <w:i/>
          <w:color w:val="000000"/>
          <w:sz w:val="16"/>
          <w:szCs w:val="16"/>
        </w:rPr>
      </w:pPr>
    </w:p>
    <w:p w:rsidR="00B82FE5" w:rsidRPr="008E2C5B" w:rsidRDefault="00B82FE5" w:rsidP="00537212"/>
    <w:sectPr w:rsidR="00B82FE5" w:rsidRPr="008E2C5B" w:rsidSect="007C3993">
      <w:endnotePr>
        <w:numFmt w:val="decimal"/>
      </w:endnotePr>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C84" w:rsidRDefault="00496C84" w:rsidP="00B82FE5">
      <w:r>
        <w:separator/>
      </w:r>
    </w:p>
  </w:endnote>
  <w:endnote w:type="continuationSeparator" w:id="1">
    <w:p w:rsidR="00496C84" w:rsidRDefault="00496C84" w:rsidP="00B82FE5">
      <w:r>
        <w:continuationSeparator/>
      </w:r>
    </w:p>
  </w:endnote>
  <w:endnote w:id="2">
    <w:p w:rsidR="005F0260" w:rsidRPr="008E2C5B" w:rsidRDefault="005F0260">
      <w:pPr>
        <w:pStyle w:val="EndnoteText"/>
        <w:rPr>
          <w:rFonts w:ascii="Arial" w:hAnsi="Arial" w:cs="Arial"/>
          <w:b/>
        </w:rPr>
      </w:pPr>
      <w:r>
        <w:rPr>
          <w:rFonts w:ascii="Arial" w:hAnsi="Arial" w:cs="Arial"/>
          <w:b/>
          <w:bCs/>
        </w:rPr>
        <w:t>NAPOMENE</w:t>
      </w:r>
    </w:p>
    <w:p w:rsidR="005F0260" w:rsidRPr="008E2C5B" w:rsidRDefault="005F0260">
      <w:pPr>
        <w:pStyle w:val="EndnoteText"/>
        <w:rPr>
          <w:rFonts w:ascii="Arial" w:hAnsi="Arial" w:cs="Arial"/>
          <w:b/>
        </w:rPr>
      </w:pPr>
    </w:p>
    <w:p w:rsidR="005F0260" w:rsidRPr="00BB2470" w:rsidRDefault="005F0260" w:rsidP="00141E28">
      <w:pPr>
        <w:rPr>
          <w:rFonts w:ascii="Arial" w:hAnsi="Arial" w:cs="Arial"/>
          <w:bCs/>
          <w:color w:val="000000"/>
          <w:sz w:val="16"/>
          <w:szCs w:val="16"/>
        </w:rPr>
      </w:pPr>
      <w:r>
        <w:rPr>
          <w:rStyle w:val="EndnoteReference"/>
          <w:rFonts w:ascii="Arial" w:hAnsi="Arial" w:cs="Arial"/>
          <w:sz w:val="16"/>
          <w:szCs w:val="16"/>
        </w:rPr>
        <w:endnoteRef/>
      </w:r>
      <w:r>
        <w:rPr>
          <w:rFonts w:ascii="Arial" w:hAnsi="Arial" w:cs="Arial"/>
          <w:sz w:val="16"/>
          <w:szCs w:val="16"/>
        </w:rPr>
        <w:t xml:space="preserve">Nepromenjeni obim aktivnosti i devizni kurs. Objavljeni rezultati za 2014. su korigovani da bi se uzeo u obzir uticaj IFRIC 21.  </w:t>
      </w:r>
      <w:r>
        <w:rPr>
          <w:rFonts w:ascii="Arial" w:hAnsi="Arial" w:cs="Arial"/>
          <w:i/>
          <w:iCs/>
          <w:color w:val="000000"/>
          <w:sz w:val="16"/>
          <w:szCs w:val="22"/>
        </w:rPr>
        <w:t>Godišnji rezultati za 2014. korigovani iz IFRIC 21 ekvivalentni su rezultatima objavljenim 2014. godine</w:t>
      </w:r>
    </w:p>
    <w:p w:rsidR="005F0260" w:rsidRPr="00535452" w:rsidRDefault="005F0260" w:rsidP="00232923">
      <w:pPr>
        <w:pStyle w:val="EndnoteText"/>
        <w:rPr>
          <w:rFonts w:ascii="Arial" w:hAnsi="Arial" w:cs="Arial"/>
          <w:sz w:val="16"/>
          <w:szCs w:val="16"/>
        </w:rPr>
      </w:pPr>
      <w:r>
        <w:rPr>
          <w:rFonts w:ascii="Arial" w:hAnsi="Arial" w:cs="Arial"/>
          <w:b/>
          <w:bCs/>
          <w:color w:val="000000"/>
          <w:sz w:val="16"/>
          <w:szCs w:val="16"/>
          <w:vertAlign w:val="superscript"/>
        </w:rPr>
        <w:t>2</w:t>
      </w:r>
      <w:r>
        <w:rPr>
          <w:rFonts w:ascii="Arial" w:hAnsi="Arial" w:cs="Arial"/>
          <w:sz w:val="16"/>
          <w:szCs w:val="16"/>
        </w:rPr>
        <w:t>Pogledajte prilog, „Tabela usaglašavanja“, za obračun operativnih prihoda bez korigovanih stavki. Za obračun neto prihoda (udeo grupe), normalizovana poreska stopa je primenjena na korigovane stavke za fiskalne godine 2014. i 2015.</w:t>
      </w:r>
    </w:p>
    <w:p w:rsidR="005F0260" w:rsidRPr="00173ABA" w:rsidRDefault="005F0260" w:rsidP="00232923">
      <w:pPr>
        <w:pStyle w:val="EndnoteText"/>
        <w:rPr>
          <w:rFonts w:ascii="Arial" w:hAnsi="Arial" w:cs="Arial"/>
          <w:bCs/>
          <w:color w:val="000000"/>
          <w:sz w:val="16"/>
          <w:szCs w:val="16"/>
        </w:rPr>
      </w:pPr>
      <w:r>
        <w:rPr>
          <w:rFonts w:ascii="Arial" w:hAnsi="Arial" w:cs="Arial"/>
          <w:b/>
          <w:bCs/>
          <w:sz w:val="16"/>
          <w:szCs w:val="16"/>
          <w:vertAlign w:val="superscript"/>
        </w:rPr>
        <w:t>3</w:t>
      </w:r>
      <w:r>
        <w:rPr>
          <w:rFonts w:ascii="Arial" w:hAnsi="Arial" w:cs="Arial"/>
          <w:color w:val="000000"/>
          <w:sz w:val="16"/>
          <w:szCs w:val="16"/>
        </w:rPr>
        <w:t>Interni opšti troškovi su korigovani da bi se isključilo vanredno obezbeđivanje 3,2M €</w:t>
      </w:r>
    </w:p>
    <w:p w:rsidR="005F0260" w:rsidRPr="00535452" w:rsidRDefault="005F0260" w:rsidP="00232923">
      <w:pPr>
        <w:pStyle w:val="EndnoteText"/>
        <w:rPr>
          <w:rFonts w:ascii="Arial" w:hAnsi="Arial" w:cs="Arial"/>
          <w:sz w:val="16"/>
          <w:szCs w:val="16"/>
        </w:rPr>
      </w:pPr>
      <w:r>
        <w:rPr>
          <w:rFonts w:ascii="Arial" w:hAnsi="Arial" w:cs="Arial"/>
          <w:b/>
          <w:bCs/>
          <w:sz w:val="16"/>
          <w:szCs w:val="16"/>
          <w:vertAlign w:val="superscript"/>
        </w:rPr>
        <w:t>4</w:t>
      </w:r>
      <w:r>
        <w:rPr>
          <w:rFonts w:ascii="Arial" w:hAnsi="Arial" w:cs="Arial"/>
          <w:sz w:val="16"/>
          <w:szCs w:val="16"/>
        </w:rPr>
        <w:t xml:space="preserve"> Prihodi od investicija bez troškova, izuzimajući troškove duga.</w:t>
      </w:r>
    </w:p>
    <w:p w:rsidR="005F0260" w:rsidRDefault="005F0260" w:rsidP="00232923">
      <w:pPr>
        <w:pStyle w:val="EndnoteText"/>
        <w:rPr>
          <w:rFonts w:ascii="Arial" w:hAnsi="Arial" w:cs="Arial"/>
          <w:bCs/>
          <w:color w:val="000000"/>
          <w:sz w:val="16"/>
          <w:szCs w:val="16"/>
        </w:rPr>
      </w:pPr>
      <w:r>
        <w:rPr>
          <w:rFonts w:ascii="Arial" w:hAnsi="Arial" w:cs="Arial"/>
          <w:b/>
          <w:bCs/>
          <w:color w:val="000000"/>
          <w:sz w:val="16"/>
          <w:szCs w:val="16"/>
          <w:vertAlign w:val="superscript"/>
        </w:rPr>
        <w:t>5</w:t>
      </w:r>
      <w:r>
        <w:rPr>
          <w:rFonts w:ascii="Arial" w:hAnsi="Arial" w:cs="Arial"/>
          <w:color w:val="000000"/>
          <w:sz w:val="16"/>
          <w:szCs w:val="16"/>
        </w:rPr>
        <w:t xml:space="preserve"> Raspodela predmet odobrenja od strane Godišnje skupštine akcionara 19. maja 2016.</w:t>
      </w:r>
    </w:p>
    <w:p w:rsidR="005F0260" w:rsidRDefault="005F0260" w:rsidP="00232923">
      <w:pPr>
        <w:pStyle w:val="EndnoteText"/>
        <w:rPr>
          <w:rFonts w:ascii="Arial" w:hAnsi="Arial" w:cs="Arial"/>
          <w:bCs/>
          <w:color w:val="000000"/>
          <w:sz w:val="16"/>
          <w:szCs w:val="16"/>
        </w:rPr>
      </w:pPr>
      <w:r>
        <w:rPr>
          <w:rFonts w:ascii="Arial" w:hAnsi="Arial" w:cs="Arial"/>
          <w:sz w:val="16"/>
          <w:szCs w:val="16"/>
          <w:vertAlign w:val="superscript"/>
        </w:rPr>
        <w:t xml:space="preserve">6 </w:t>
      </w:r>
      <w:r>
        <w:rPr>
          <w:rFonts w:ascii="Arial" w:hAnsi="Arial" w:cs="Arial"/>
          <w:sz w:val="16"/>
          <w:szCs w:val="16"/>
        </w:rPr>
        <w:t>Podleže potpisivanju ugovora o osnivanju ove linije uslovnog kapitala</w:t>
      </w:r>
    </w:p>
    <w:p w:rsidR="005F0260" w:rsidRDefault="005F0260">
      <w:pPr>
        <w:rPr>
          <w:rFonts w:ascii="Arial" w:hAnsi="Arial" w:cs="Arial"/>
          <w:bCs/>
          <w:color w:val="000000"/>
          <w:sz w:val="16"/>
          <w:szCs w:val="16"/>
        </w:rPr>
      </w:pPr>
      <w:r>
        <w:rPr>
          <w:rFonts w:ascii="Arial" w:hAnsi="Arial" w:cs="Arial"/>
          <w:color w:val="000000"/>
          <w:sz w:val="16"/>
          <w:szCs w:val="16"/>
          <w:vertAlign w:val="superscript"/>
        </w:rPr>
        <w:t xml:space="preserve">7 </w:t>
      </w:r>
      <w:r>
        <w:rPr>
          <w:rFonts w:ascii="Arial" w:hAnsi="Arial" w:cs="Arial"/>
          <w:color w:val="000000"/>
          <w:sz w:val="16"/>
          <w:szCs w:val="16"/>
        </w:rPr>
        <w:t>Racio pokrivenosti izračunat prema tumačenju kompanije Coface standardne formule Boniteta II. Preliminarni obračun.</w:t>
      </w:r>
    </w:p>
    <w:p w:rsidR="005F0260" w:rsidRPr="001D0B80" w:rsidRDefault="002B0703" w:rsidP="00141E28">
      <w:pPr>
        <w:pStyle w:val="EndnoteText"/>
        <w:rPr>
          <w:vertAlign w:val="superscript"/>
        </w:rPr>
      </w:pPr>
      <w:r>
        <w:rPr>
          <w:rFonts w:ascii="Arial" w:hAnsi="Arial" w:cs="Arial"/>
          <w:color w:val="000000"/>
          <w:sz w:val="16"/>
          <w:szCs w:val="16"/>
          <w:vertAlign w:val="superscript"/>
        </w:rPr>
        <w:t xml:space="preserve">8 </w:t>
      </w:r>
      <w:r>
        <w:rPr>
          <w:rFonts w:ascii="Arial" w:hAnsi="Arial" w:cs="Arial"/>
          <w:color w:val="000000"/>
          <w:sz w:val="16"/>
          <w:szCs w:val="16"/>
        </w:rPr>
        <w:t>Zakon o finansijama br. 2015-1786, član 103, od 29. decembra 2015.</w:t>
      </w:r>
    </w:p>
    <w:p w:rsidR="005F0260" w:rsidRPr="009A48DF" w:rsidRDefault="005F0260">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98016438"/>
      <w:docPartObj>
        <w:docPartGallery w:val="Page Numbers (Bottom of Page)"/>
        <w:docPartUnique/>
      </w:docPartObj>
    </w:sdtPr>
    <w:sdtContent>
      <w:sdt>
        <w:sdtPr>
          <w:rPr>
            <w:rFonts w:ascii="Arial" w:hAnsi="Arial" w:cs="Arial"/>
            <w:sz w:val="16"/>
            <w:szCs w:val="16"/>
          </w:rPr>
          <w:id w:val="-971984549"/>
          <w:docPartObj>
            <w:docPartGallery w:val="Page Numbers (Top of Page)"/>
            <w:docPartUnique/>
          </w:docPartObj>
        </w:sdtPr>
        <w:sdtContent>
          <w:p w:rsidR="005F0260" w:rsidRDefault="005F0260" w:rsidP="00085311">
            <w:pPr>
              <w:pStyle w:val="Footer"/>
              <w:rPr>
                <w:rFonts w:ascii="Arial" w:hAnsi="Arial" w:cs="Arial"/>
                <w:bCs/>
                <w:i/>
                <w:color w:val="000000"/>
                <w:sz w:val="16"/>
                <w:szCs w:val="16"/>
              </w:rPr>
            </w:pPr>
          </w:p>
          <w:p w:rsidR="005F0260" w:rsidRDefault="005F0260" w:rsidP="00B82FE5">
            <w:pPr>
              <w:pStyle w:val="Footer"/>
              <w:jc w:val="right"/>
              <w:rPr>
                <w:rFonts w:ascii="Arial" w:hAnsi="Arial" w:cs="Arial"/>
                <w:sz w:val="16"/>
                <w:szCs w:val="16"/>
              </w:rPr>
            </w:pPr>
          </w:p>
          <w:p w:rsidR="005F0260" w:rsidRPr="00B82FE5" w:rsidRDefault="005F0260" w:rsidP="00B82FE5">
            <w:pPr>
              <w:pStyle w:val="Footer"/>
              <w:jc w:val="right"/>
              <w:rPr>
                <w:rFonts w:ascii="Arial" w:hAnsi="Arial" w:cs="Arial"/>
                <w:sz w:val="16"/>
                <w:szCs w:val="16"/>
              </w:rPr>
            </w:pPr>
            <w:r>
              <w:rPr>
                <w:rFonts w:ascii="Arial" w:hAnsi="Arial" w:cs="Arial"/>
                <w:sz w:val="16"/>
                <w:szCs w:val="16"/>
              </w:rPr>
              <w:t>COFACE – FG-2015. Rezultati</w:t>
            </w:r>
            <w:r>
              <w:rPr>
                <w:rFonts w:ascii="Arial" w:hAnsi="Arial" w:cs="Arial"/>
                <w:sz w:val="16"/>
                <w:szCs w:val="16"/>
              </w:rPr>
              <w:tab/>
            </w:r>
            <w:r>
              <w:rPr>
                <w:rFonts w:ascii="Arial" w:hAnsi="Arial" w:cs="Arial"/>
                <w:sz w:val="16"/>
                <w:szCs w:val="16"/>
              </w:rPr>
              <w:tab/>
              <w:t xml:space="preserve">Strana </w:t>
            </w:r>
            <w:r w:rsidR="00437E5A">
              <w:rPr>
                <w:rFonts w:ascii="Arial" w:hAnsi="Arial" w:cs="Arial"/>
                <w:sz w:val="16"/>
                <w:szCs w:val="16"/>
              </w:rPr>
              <w:fldChar w:fldCharType="begin"/>
            </w:r>
            <w:r>
              <w:rPr>
                <w:rFonts w:ascii="Arial" w:hAnsi="Arial" w:cs="Arial"/>
                <w:sz w:val="16"/>
                <w:szCs w:val="16"/>
              </w:rPr>
              <w:instrText>PAGE</w:instrText>
            </w:r>
            <w:r w:rsidR="00437E5A">
              <w:rPr>
                <w:rFonts w:ascii="Arial" w:hAnsi="Arial" w:cs="Arial"/>
                <w:sz w:val="16"/>
                <w:szCs w:val="16"/>
              </w:rPr>
              <w:fldChar w:fldCharType="separate"/>
            </w:r>
            <w:r w:rsidR="00C925BF">
              <w:rPr>
                <w:rFonts w:ascii="Arial" w:hAnsi="Arial" w:cs="Arial"/>
                <w:noProof/>
                <w:sz w:val="16"/>
                <w:szCs w:val="16"/>
              </w:rPr>
              <w:t>2</w:t>
            </w:r>
            <w:r w:rsidR="00437E5A">
              <w:rPr>
                <w:rFonts w:ascii="Arial" w:hAnsi="Arial" w:cs="Arial"/>
                <w:sz w:val="16"/>
                <w:szCs w:val="16"/>
              </w:rPr>
              <w:fldChar w:fldCharType="end"/>
            </w:r>
            <w:r w:rsidR="0077375A">
              <w:rPr>
                <w:rFonts w:ascii="Arial" w:hAnsi="Arial" w:cs="Arial"/>
                <w:sz w:val="16"/>
                <w:szCs w:val="16"/>
              </w:rPr>
              <w:t>/</w:t>
            </w:r>
            <w:r w:rsidR="00437E5A">
              <w:rPr>
                <w:rFonts w:ascii="Arial" w:hAnsi="Arial" w:cs="Arial"/>
                <w:sz w:val="16"/>
                <w:szCs w:val="16"/>
              </w:rPr>
              <w:fldChar w:fldCharType="begin"/>
            </w:r>
            <w:r>
              <w:rPr>
                <w:rFonts w:ascii="Arial" w:hAnsi="Arial" w:cs="Arial"/>
                <w:sz w:val="16"/>
                <w:szCs w:val="16"/>
              </w:rPr>
              <w:instrText>NUMPAGES</w:instrText>
            </w:r>
            <w:r w:rsidR="00437E5A">
              <w:rPr>
                <w:rFonts w:ascii="Arial" w:hAnsi="Arial" w:cs="Arial"/>
                <w:sz w:val="16"/>
                <w:szCs w:val="16"/>
              </w:rPr>
              <w:fldChar w:fldCharType="separate"/>
            </w:r>
            <w:r w:rsidR="00C925BF">
              <w:rPr>
                <w:rFonts w:ascii="Arial" w:hAnsi="Arial" w:cs="Arial"/>
                <w:noProof/>
                <w:sz w:val="16"/>
                <w:szCs w:val="16"/>
              </w:rPr>
              <w:t>7</w:t>
            </w:r>
            <w:r w:rsidR="00437E5A">
              <w:rPr>
                <w:rFonts w:ascii="Arial" w:hAnsi="Arial" w:cs="Arial"/>
                <w:sz w:val="16"/>
                <w:szCs w:val="16"/>
              </w:rPr>
              <w:fldChar w:fldCharType="end"/>
            </w:r>
          </w:p>
        </w:sdtContent>
      </w:sdt>
    </w:sdtContent>
  </w:sdt>
  <w:p w:rsidR="005F0260" w:rsidRDefault="005F0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C84" w:rsidRDefault="00496C84" w:rsidP="00B82FE5">
      <w:r>
        <w:separator/>
      </w:r>
    </w:p>
  </w:footnote>
  <w:footnote w:type="continuationSeparator" w:id="1">
    <w:p w:rsidR="00496C84" w:rsidRDefault="00496C84" w:rsidP="00B82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bullet"/>
      <w:lvlText w:val=""/>
      <w:lvlJc w:val="left"/>
      <w:pPr>
        <w:tabs>
          <w:tab w:val="num" w:pos="792"/>
        </w:tabs>
        <w:ind w:left="792" w:hanging="360"/>
      </w:pPr>
      <w:rPr>
        <w:rFonts w:ascii="Symbol" w:hAnsi="Symbol"/>
        <w:color w:val="61B57C"/>
        <w:w w:val="100"/>
      </w:rPr>
    </w:lvl>
  </w:abstractNum>
  <w:abstractNum w:abstractNumId="1">
    <w:nsid w:val="01821903"/>
    <w:multiLevelType w:val="hybridMultilevel"/>
    <w:tmpl w:val="1E82B0D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617166"/>
    <w:multiLevelType w:val="multilevel"/>
    <w:tmpl w:val="79FE8B58"/>
    <w:lvl w:ilvl="0">
      <w:start w:val="1"/>
      <w:numFmt w:val="decimal"/>
      <w:pStyle w:val="Heading1"/>
      <w:lvlText w:val="%1."/>
      <w:lvlJc w:val="left"/>
      <w:pPr>
        <w:tabs>
          <w:tab w:val="num" w:pos="720"/>
        </w:tabs>
        <w:ind w:left="720" w:hanging="720"/>
      </w:pPr>
      <w:rPr>
        <w:rFonts w:ascii="Times New Roman Bold" w:hAnsi="Times New Roman Bold" w:cs="Times New Roman" w:hint="default"/>
        <w:b/>
        <w:i w:val="0"/>
        <w:color w:val="000000" w:themeColor="text1"/>
        <w:sz w:val="22"/>
      </w:rPr>
    </w:lvl>
    <w:lvl w:ilvl="1">
      <w:start w:val="4"/>
      <w:numFmt w:val="decimal"/>
      <w:pStyle w:val="Heading2"/>
      <w:isLgl/>
      <w:lvlText w:val="%1.%2"/>
      <w:lvlJc w:val="left"/>
      <w:pPr>
        <w:tabs>
          <w:tab w:val="num" w:pos="720"/>
        </w:tabs>
        <w:ind w:left="720" w:hanging="720"/>
      </w:pPr>
      <w:rPr>
        <w:rFonts w:ascii="Times New Roman" w:hAnsi="Times New Roman" w:cs="Times New Roman"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720"/>
      </w:pPr>
      <w:rPr>
        <w:rFonts w:hint="default"/>
        <w:b/>
        <w:color w:val="000000" w:themeColor="text1"/>
      </w:rPr>
    </w:lvl>
    <w:lvl w:ilvl="3">
      <w:start w:val="1"/>
      <w:numFmt w:val="decimal"/>
      <w:lvlText w:val="%1.%2.%3.%4"/>
      <w:lvlJc w:val="left"/>
      <w:pPr>
        <w:tabs>
          <w:tab w:val="num" w:pos="1134"/>
        </w:tabs>
        <w:ind w:left="1134" w:hanging="1134"/>
      </w:pPr>
      <w:rPr>
        <w:rFonts w:hint="default"/>
        <w:b/>
        <w:color w:val="000000" w:themeColor="text1"/>
      </w:rPr>
    </w:lvl>
    <w:lvl w:ilvl="4">
      <w:start w:val="1"/>
      <w:numFmt w:val="decimal"/>
      <w:lvlText w:val="%1.%2.%3.%4.%5"/>
      <w:lvlJc w:val="left"/>
      <w:pPr>
        <w:tabs>
          <w:tab w:val="num" w:pos="1134"/>
        </w:tabs>
        <w:ind w:left="1134" w:hanging="1134"/>
      </w:pPr>
      <w:rPr>
        <w:rFonts w:ascii="Times New Roman Bold" w:hAnsi="Times New Roman Bold" w:hint="default"/>
        <w:color w:val="000000" w:themeColor="text1"/>
        <w:sz w:val="20"/>
      </w:rPr>
    </w:lvl>
    <w:lvl w:ilvl="5">
      <w:start w:val="1"/>
      <w:numFmt w:val="lowerLetter"/>
      <w:pStyle w:val="Heading6"/>
      <w:lvlText w:val="(%6)"/>
      <w:lvlJc w:val="left"/>
      <w:pPr>
        <w:tabs>
          <w:tab w:val="num" w:pos="1440"/>
        </w:tabs>
        <w:ind w:left="1440" w:hanging="720"/>
      </w:pPr>
      <w:rPr>
        <w:rFonts w:hint="default"/>
        <w:color w:val="000000" w:themeColor="text1"/>
      </w:rPr>
    </w:lvl>
    <w:lvl w:ilvl="6">
      <w:start w:val="1"/>
      <w:numFmt w:val="lowerRoman"/>
      <w:pStyle w:val="Heading7"/>
      <w:lvlText w:val="(%7)"/>
      <w:lvlJc w:val="left"/>
      <w:pPr>
        <w:tabs>
          <w:tab w:val="num" w:pos="2160"/>
        </w:tabs>
        <w:ind w:left="2160" w:hanging="720"/>
      </w:pPr>
      <w:rPr>
        <w:rFonts w:hint="default"/>
        <w:color w:val="000000" w:themeColor="text1"/>
      </w:rPr>
    </w:lvl>
    <w:lvl w:ilvl="7">
      <w:start w:val="1"/>
      <w:numFmt w:val="upperLetter"/>
      <w:pStyle w:val="Heading8"/>
      <w:lvlText w:val="(%8)"/>
      <w:lvlJc w:val="left"/>
      <w:pPr>
        <w:tabs>
          <w:tab w:val="num" w:pos="2880"/>
        </w:tabs>
        <w:ind w:left="2880" w:hanging="720"/>
      </w:pPr>
      <w:rPr>
        <w:rFonts w:hint="default"/>
        <w:color w:val="000000" w:themeColor="text1"/>
      </w:rPr>
    </w:lvl>
    <w:lvl w:ilvl="8">
      <w:start w:val="1"/>
      <w:numFmt w:val="none"/>
      <w:suff w:val="nothing"/>
      <w:lvlText w:val="%9"/>
      <w:lvlJc w:val="left"/>
      <w:pPr>
        <w:ind w:left="0" w:firstLine="0"/>
      </w:pPr>
      <w:rPr>
        <w:rFonts w:hint="default"/>
        <w:color w:val="000000" w:themeColor="text1"/>
      </w:rPr>
    </w:lvl>
  </w:abstractNum>
  <w:abstractNum w:abstractNumId="3">
    <w:nsid w:val="29ED3258"/>
    <w:multiLevelType w:val="hybridMultilevel"/>
    <w:tmpl w:val="1E82B0D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8548DB"/>
    <w:multiLevelType w:val="hybridMultilevel"/>
    <w:tmpl w:val="CD2CB574"/>
    <w:lvl w:ilvl="0" w:tplc="4FF868A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7127F"/>
    <w:multiLevelType w:val="hybridMultilevel"/>
    <w:tmpl w:val="69964148"/>
    <w:lvl w:ilvl="0" w:tplc="FD64B20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FD93193"/>
    <w:multiLevelType w:val="hybridMultilevel"/>
    <w:tmpl w:val="370E87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EE8718B"/>
    <w:multiLevelType w:val="hybridMultilevel"/>
    <w:tmpl w:val="1E82B0D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pos w:val="sectEnd"/>
    <w:endnote w:id="0"/>
    <w:endnote w:id="1"/>
  </w:endnotePr>
  <w:compat/>
  <w:rsids>
    <w:rsidRoot w:val="00B82FE5"/>
    <w:rsid w:val="000014F5"/>
    <w:rsid w:val="00011464"/>
    <w:rsid w:val="00021A63"/>
    <w:rsid w:val="00034CB4"/>
    <w:rsid w:val="00035A72"/>
    <w:rsid w:val="00064E60"/>
    <w:rsid w:val="00064FCD"/>
    <w:rsid w:val="00067F4C"/>
    <w:rsid w:val="00081581"/>
    <w:rsid w:val="000836B6"/>
    <w:rsid w:val="00085311"/>
    <w:rsid w:val="00085F25"/>
    <w:rsid w:val="00096E08"/>
    <w:rsid w:val="000A0DD4"/>
    <w:rsid w:val="000A435D"/>
    <w:rsid w:val="000B3C18"/>
    <w:rsid w:val="000B67D8"/>
    <w:rsid w:val="000B791C"/>
    <w:rsid w:val="000D0202"/>
    <w:rsid w:val="000D195D"/>
    <w:rsid w:val="000E2024"/>
    <w:rsid w:val="000E20D2"/>
    <w:rsid w:val="000E567E"/>
    <w:rsid w:val="000F5B67"/>
    <w:rsid w:val="00103D2E"/>
    <w:rsid w:val="00104D56"/>
    <w:rsid w:val="0011562F"/>
    <w:rsid w:val="00116FCF"/>
    <w:rsid w:val="0012209E"/>
    <w:rsid w:val="00122B07"/>
    <w:rsid w:val="00141E28"/>
    <w:rsid w:val="0015689A"/>
    <w:rsid w:val="0016027B"/>
    <w:rsid w:val="00161647"/>
    <w:rsid w:val="00162942"/>
    <w:rsid w:val="0016523D"/>
    <w:rsid w:val="00166A9D"/>
    <w:rsid w:val="00173ABA"/>
    <w:rsid w:val="001A67F5"/>
    <w:rsid w:val="001A7D3C"/>
    <w:rsid w:val="001B38AB"/>
    <w:rsid w:val="001C1B24"/>
    <w:rsid w:val="001D0B80"/>
    <w:rsid w:val="001D3214"/>
    <w:rsid w:val="001D3CA9"/>
    <w:rsid w:val="001D798A"/>
    <w:rsid w:val="001E2855"/>
    <w:rsid w:val="001E3E14"/>
    <w:rsid w:val="001F687C"/>
    <w:rsid w:val="002129AE"/>
    <w:rsid w:val="00216F58"/>
    <w:rsid w:val="00230317"/>
    <w:rsid w:val="00232923"/>
    <w:rsid w:val="00253517"/>
    <w:rsid w:val="00257496"/>
    <w:rsid w:val="00270E77"/>
    <w:rsid w:val="00274F8F"/>
    <w:rsid w:val="0029290C"/>
    <w:rsid w:val="002B0703"/>
    <w:rsid w:val="002B16C0"/>
    <w:rsid w:val="002B63CB"/>
    <w:rsid w:val="002B65F4"/>
    <w:rsid w:val="002C72A5"/>
    <w:rsid w:val="002C7572"/>
    <w:rsid w:val="002D39C5"/>
    <w:rsid w:val="002D41F0"/>
    <w:rsid w:val="002D4554"/>
    <w:rsid w:val="002E7F81"/>
    <w:rsid w:val="002E7FC1"/>
    <w:rsid w:val="002F62E5"/>
    <w:rsid w:val="002F6E40"/>
    <w:rsid w:val="003009BD"/>
    <w:rsid w:val="00321319"/>
    <w:rsid w:val="00327F70"/>
    <w:rsid w:val="00335545"/>
    <w:rsid w:val="00341BE4"/>
    <w:rsid w:val="00343DD3"/>
    <w:rsid w:val="00353834"/>
    <w:rsid w:val="0035459D"/>
    <w:rsid w:val="00355705"/>
    <w:rsid w:val="0035693E"/>
    <w:rsid w:val="00363E00"/>
    <w:rsid w:val="00372B16"/>
    <w:rsid w:val="00376EEF"/>
    <w:rsid w:val="00380450"/>
    <w:rsid w:val="00380F47"/>
    <w:rsid w:val="00383F02"/>
    <w:rsid w:val="00385983"/>
    <w:rsid w:val="003A56F5"/>
    <w:rsid w:val="003B4E59"/>
    <w:rsid w:val="003B6BFE"/>
    <w:rsid w:val="003B7017"/>
    <w:rsid w:val="003C0AD3"/>
    <w:rsid w:val="003C3D4D"/>
    <w:rsid w:val="003D0357"/>
    <w:rsid w:val="003E2F72"/>
    <w:rsid w:val="003E659B"/>
    <w:rsid w:val="00400059"/>
    <w:rsid w:val="00412DBB"/>
    <w:rsid w:val="00416E27"/>
    <w:rsid w:val="00432F3D"/>
    <w:rsid w:val="00434111"/>
    <w:rsid w:val="0043444E"/>
    <w:rsid w:val="00437E5A"/>
    <w:rsid w:val="0044182A"/>
    <w:rsid w:val="00450B00"/>
    <w:rsid w:val="004578A2"/>
    <w:rsid w:val="00484934"/>
    <w:rsid w:val="00490090"/>
    <w:rsid w:val="00496C84"/>
    <w:rsid w:val="004A798C"/>
    <w:rsid w:val="004B53F0"/>
    <w:rsid w:val="004C2FE8"/>
    <w:rsid w:val="004C3D41"/>
    <w:rsid w:val="004C59BD"/>
    <w:rsid w:val="004C68D0"/>
    <w:rsid w:val="004D04C9"/>
    <w:rsid w:val="004D5346"/>
    <w:rsid w:val="004E10F1"/>
    <w:rsid w:val="004E61C8"/>
    <w:rsid w:val="00522F92"/>
    <w:rsid w:val="005247D3"/>
    <w:rsid w:val="00533883"/>
    <w:rsid w:val="00535452"/>
    <w:rsid w:val="00537212"/>
    <w:rsid w:val="005455DF"/>
    <w:rsid w:val="00580FD4"/>
    <w:rsid w:val="0058360E"/>
    <w:rsid w:val="005B5175"/>
    <w:rsid w:val="005C0F1F"/>
    <w:rsid w:val="005C2050"/>
    <w:rsid w:val="005D1CA9"/>
    <w:rsid w:val="005D7B55"/>
    <w:rsid w:val="005E1447"/>
    <w:rsid w:val="005E1A36"/>
    <w:rsid w:val="005F0260"/>
    <w:rsid w:val="005F3B37"/>
    <w:rsid w:val="006033C5"/>
    <w:rsid w:val="00616A1A"/>
    <w:rsid w:val="006205FA"/>
    <w:rsid w:val="006347B4"/>
    <w:rsid w:val="00647765"/>
    <w:rsid w:val="00652E58"/>
    <w:rsid w:val="00672056"/>
    <w:rsid w:val="006A610F"/>
    <w:rsid w:val="006B1C96"/>
    <w:rsid w:val="006B252C"/>
    <w:rsid w:val="006B6CCC"/>
    <w:rsid w:val="006C0B98"/>
    <w:rsid w:val="006C51EF"/>
    <w:rsid w:val="006E66B9"/>
    <w:rsid w:val="0070718E"/>
    <w:rsid w:val="00714C65"/>
    <w:rsid w:val="007170A8"/>
    <w:rsid w:val="007252DC"/>
    <w:rsid w:val="0072549F"/>
    <w:rsid w:val="007271C2"/>
    <w:rsid w:val="007317F3"/>
    <w:rsid w:val="00733859"/>
    <w:rsid w:val="00735DB1"/>
    <w:rsid w:val="007519FA"/>
    <w:rsid w:val="007522A0"/>
    <w:rsid w:val="007651BC"/>
    <w:rsid w:val="00765BF8"/>
    <w:rsid w:val="00766E05"/>
    <w:rsid w:val="0077375A"/>
    <w:rsid w:val="0078572B"/>
    <w:rsid w:val="007937AF"/>
    <w:rsid w:val="00796DB9"/>
    <w:rsid w:val="007A4AF8"/>
    <w:rsid w:val="007A55CA"/>
    <w:rsid w:val="007B1155"/>
    <w:rsid w:val="007C3993"/>
    <w:rsid w:val="007C6544"/>
    <w:rsid w:val="007D15BE"/>
    <w:rsid w:val="007D1D0E"/>
    <w:rsid w:val="007D36CE"/>
    <w:rsid w:val="007E26C7"/>
    <w:rsid w:val="007E2E3C"/>
    <w:rsid w:val="007E65C3"/>
    <w:rsid w:val="007F04BC"/>
    <w:rsid w:val="007F1A7B"/>
    <w:rsid w:val="00815464"/>
    <w:rsid w:val="008171E7"/>
    <w:rsid w:val="00822A9F"/>
    <w:rsid w:val="00837D3E"/>
    <w:rsid w:val="00857839"/>
    <w:rsid w:val="00860398"/>
    <w:rsid w:val="0087283E"/>
    <w:rsid w:val="00875CD2"/>
    <w:rsid w:val="00890FA7"/>
    <w:rsid w:val="008942E1"/>
    <w:rsid w:val="00897E37"/>
    <w:rsid w:val="008A5468"/>
    <w:rsid w:val="008B65D5"/>
    <w:rsid w:val="008C2463"/>
    <w:rsid w:val="008C755D"/>
    <w:rsid w:val="008E0B0A"/>
    <w:rsid w:val="008E2C5B"/>
    <w:rsid w:val="008E4177"/>
    <w:rsid w:val="008E4355"/>
    <w:rsid w:val="00900E23"/>
    <w:rsid w:val="00912461"/>
    <w:rsid w:val="00912A64"/>
    <w:rsid w:val="00920490"/>
    <w:rsid w:val="009263EA"/>
    <w:rsid w:val="00926A88"/>
    <w:rsid w:val="0093671E"/>
    <w:rsid w:val="00946129"/>
    <w:rsid w:val="00956474"/>
    <w:rsid w:val="00957C85"/>
    <w:rsid w:val="00974B16"/>
    <w:rsid w:val="00977778"/>
    <w:rsid w:val="0097791F"/>
    <w:rsid w:val="00990321"/>
    <w:rsid w:val="009A48DF"/>
    <w:rsid w:val="009D29F9"/>
    <w:rsid w:val="009E0CC1"/>
    <w:rsid w:val="009E21F0"/>
    <w:rsid w:val="009F41AD"/>
    <w:rsid w:val="00A25B86"/>
    <w:rsid w:val="00A274EA"/>
    <w:rsid w:val="00A32B9F"/>
    <w:rsid w:val="00A33456"/>
    <w:rsid w:val="00A40FA9"/>
    <w:rsid w:val="00A41D73"/>
    <w:rsid w:val="00A43C91"/>
    <w:rsid w:val="00A501AC"/>
    <w:rsid w:val="00A551AE"/>
    <w:rsid w:val="00A56595"/>
    <w:rsid w:val="00A651DC"/>
    <w:rsid w:val="00A6577F"/>
    <w:rsid w:val="00A75A35"/>
    <w:rsid w:val="00A75FB2"/>
    <w:rsid w:val="00A91727"/>
    <w:rsid w:val="00A942D0"/>
    <w:rsid w:val="00A945A0"/>
    <w:rsid w:val="00AA25A0"/>
    <w:rsid w:val="00AB73F8"/>
    <w:rsid w:val="00AB7FBA"/>
    <w:rsid w:val="00AC56CF"/>
    <w:rsid w:val="00AD1004"/>
    <w:rsid w:val="00AD13C4"/>
    <w:rsid w:val="00AE2F8E"/>
    <w:rsid w:val="00AF2CBB"/>
    <w:rsid w:val="00AF5511"/>
    <w:rsid w:val="00B032A2"/>
    <w:rsid w:val="00B07DDD"/>
    <w:rsid w:val="00B122E6"/>
    <w:rsid w:val="00B31162"/>
    <w:rsid w:val="00B405B2"/>
    <w:rsid w:val="00B4308D"/>
    <w:rsid w:val="00B46E1F"/>
    <w:rsid w:val="00B534EE"/>
    <w:rsid w:val="00B55E16"/>
    <w:rsid w:val="00B70E2C"/>
    <w:rsid w:val="00B72361"/>
    <w:rsid w:val="00B733C2"/>
    <w:rsid w:val="00B762C1"/>
    <w:rsid w:val="00B7665B"/>
    <w:rsid w:val="00B77514"/>
    <w:rsid w:val="00B80D50"/>
    <w:rsid w:val="00B82FE5"/>
    <w:rsid w:val="00BA1118"/>
    <w:rsid w:val="00BA6785"/>
    <w:rsid w:val="00BA7780"/>
    <w:rsid w:val="00BB2470"/>
    <w:rsid w:val="00BC3E22"/>
    <w:rsid w:val="00BE636D"/>
    <w:rsid w:val="00BF3914"/>
    <w:rsid w:val="00BF6BA1"/>
    <w:rsid w:val="00C00383"/>
    <w:rsid w:val="00C010CA"/>
    <w:rsid w:val="00C10BF3"/>
    <w:rsid w:val="00C13834"/>
    <w:rsid w:val="00C31CCB"/>
    <w:rsid w:val="00C337C2"/>
    <w:rsid w:val="00C34B11"/>
    <w:rsid w:val="00C34D66"/>
    <w:rsid w:val="00C35595"/>
    <w:rsid w:val="00C362D6"/>
    <w:rsid w:val="00C36BB0"/>
    <w:rsid w:val="00C44597"/>
    <w:rsid w:val="00C61556"/>
    <w:rsid w:val="00C72256"/>
    <w:rsid w:val="00C75408"/>
    <w:rsid w:val="00C77FBF"/>
    <w:rsid w:val="00C90679"/>
    <w:rsid w:val="00C925BF"/>
    <w:rsid w:val="00C95E56"/>
    <w:rsid w:val="00CA5778"/>
    <w:rsid w:val="00CC04F7"/>
    <w:rsid w:val="00CC3841"/>
    <w:rsid w:val="00CC4E98"/>
    <w:rsid w:val="00CD75F0"/>
    <w:rsid w:val="00CE177E"/>
    <w:rsid w:val="00CE6D14"/>
    <w:rsid w:val="00CE7C03"/>
    <w:rsid w:val="00CF39CA"/>
    <w:rsid w:val="00D067B6"/>
    <w:rsid w:val="00D12858"/>
    <w:rsid w:val="00D21B75"/>
    <w:rsid w:val="00D23B73"/>
    <w:rsid w:val="00D247DE"/>
    <w:rsid w:val="00D51331"/>
    <w:rsid w:val="00D53A93"/>
    <w:rsid w:val="00D67205"/>
    <w:rsid w:val="00D673C8"/>
    <w:rsid w:val="00D80C81"/>
    <w:rsid w:val="00D8441E"/>
    <w:rsid w:val="00D936E4"/>
    <w:rsid w:val="00D949A5"/>
    <w:rsid w:val="00D97A8C"/>
    <w:rsid w:val="00DA2AF0"/>
    <w:rsid w:val="00DA3E06"/>
    <w:rsid w:val="00DA7AEA"/>
    <w:rsid w:val="00DB6AE8"/>
    <w:rsid w:val="00DB7EC8"/>
    <w:rsid w:val="00DD28D9"/>
    <w:rsid w:val="00DD3B9E"/>
    <w:rsid w:val="00DE4775"/>
    <w:rsid w:val="00DF127F"/>
    <w:rsid w:val="00DF2015"/>
    <w:rsid w:val="00DF47F7"/>
    <w:rsid w:val="00E0652C"/>
    <w:rsid w:val="00E1453F"/>
    <w:rsid w:val="00E15FFB"/>
    <w:rsid w:val="00E333DC"/>
    <w:rsid w:val="00E57C7A"/>
    <w:rsid w:val="00E6411E"/>
    <w:rsid w:val="00E66B95"/>
    <w:rsid w:val="00E67D59"/>
    <w:rsid w:val="00E70175"/>
    <w:rsid w:val="00E84568"/>
    <w:rsid w:val="00E9147B"/>
    <w:rsid w:val="00E94E46"/>
    <w:rsid w:val="00E959B5"/>
    <w:rsid w:val="00EA7995"/>
    <w:rsid w:val="00ED2BBE"/>
    <w:rsid w:val="00ED352E"/>
    <w:rsid w:val="00ED4584"/>
    <w:rsid w:val="00EE1D56"/>
    <w:rsid w:val="00EE4A6F"/>
    <w:rsid w:val="00F05067"/>
    <w:rsid w:val="00F07383"/>
    <w:rsid w:val="00F101EC"/>
    <w:rsid w:val="00F10FED"/>
    <w:rsid w:val="00F17C32"/>
    <w:rsid w:val="00F242CB"/>
    <w:rsid w:val="00F27CE7"/>
    <w:rsid w:val="00F31E26"/>
    <w:rsid w:val="00F3450E"/>
    <w:rsid w:val="00F45A18"/>
    <w:rsid w:val="00F4640A"/>
    <w:rsid w:val="00F55607"/>
    <w:rsid w:val="00F65829"/>
    <w:rsid w:val="00F6683B"/>
    <w:rsid w:val="00F66E23"/>
    <w:rsid w:val="00F975D5"/>
    <w:rsid w:val="00FA1FCD"/>
    <w:rsid w:val="00FB449B"/>
    <w:rsid w:val="00FB78AE"/>
    <w:rsid w:val="00FC11FC"/>
    <w:rsid w:val="00FC428E"/>
    <w:rsid w:val="00FC4E64"/>
    <w:rsid w:val="00FD32BB"/>
    <w:rsid w:val="00FD3FC3"/>
    <w:rsid w:val="00FD73DC"/>
    <w:rsid w:val="00FE0AC2"/>
    <w:rsid w:val="00FE7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E5"/>
    <w:pPr>
      <w:widowControl w:val="0"/>
      <w:spacing w:after="0" w:line="240" w:lineRule="auto"/>
    </w:pPr>
    <w:rPr>
      <w:rFonts w:ascii="Cambria" w:eastAsia="MS Mincho" w:hAnsi="Cambria" w:cs="Cambria"/>
      <w:sz w:val="24"/>
      <w:szCs w:val="24"/>
      <w:lang w:val="fr-FR" w:eastAsia="ar-SA"/>
    </w:rPr>
  </w:style>
  <w:style w:type="paragraph" w:styleId="Heading1">
    <w:name w:val="heading 1"/>
    <w:basedOn w:val="Normal"/>
    <w:next w:val="Heading2"/>
    <w:link w:val="Heading1Char"/>
    <w:qFormat/>
    <w:rsid w:val="00C95E56"/>
    <w:pPr>
      <w:keepNext/>
      <w:keepLines/>
      <w:pageBreakBefore/>
      <w:numPr>
        <w:numId w:val="8"/>
      </w:numPr>
      <w:spacing w:before="120" w:after="180"/>
      <w:jc w:val="both"/>
      <w:outlineLvl w:val="0"/>
    </w:pPr>
    <w:rPr>
      <w:rFonts w:ascii="Times New Roman" w:hAnsi="Times New Roman" w:cs="Times New Roman"/>
      <w:b/>
      <w:bCs/>
      <w:caps/>
      <w:sz w:val="22"/>
      <w:szCs w:val="22"/>
      <w:lang w:eastAsia="en-US"/>
    </w:rPr>
  </w:style>
  <w:style w:type="paragraph" w:styleId="Heading2">
    <w:name w:val="heading 2"/>
    <w:basedOn w:val="Normal"/>
    <w:next w:val="Normal"/>
    <w:link w:val="Heading2Char"/>
    <w:qFormat/>
    <w:rsid w:val="00C95E56"/>
    <w:pPr>
      <w:widowControl/>
      <w:numPr>
        <w:ilvl w:val="1"/>
        <w:numId w:val="8"/>
      </w:numPr>
      <w:spacing w:before="120" w:after="180"/>
      <w:jc w:val="both"/>
      <w:outlineLvl w:val="1"/>
    </w:pPr>
    <w:rPr>
      <w:rFonts w:ascii="Times New Roman Bold" w:hAnsi="Times New Roman Bold" w:cs="Times New Roman"/>
      <w:b/>
      <w:color w:val="000000" w:themeColor="text1"/>
      <w:sz w:val="22"/>
      <w:szCs w:val="22"/>
      <w:lang w:eastAsia="en-US"/>
    </w:rPr>
  </w:style>
  <w:style w:type="paragraph" w:styleId="Heading3">
    <w:name w:val="heading 3"/>
    <w:basedOn w:val="Normal"/>
    <w:link w:val="Heading3Char"/>
    <w:qFormat/>
    <w:rsid w:val="00C95E56"/>
    <w:pPr>
      <w:widowControl/>
      <w:numPr>
        <w:ilvl w:val="2"/>
        <w:numId w:val="8"/>
      </w:numPr>
      <w:spacing w:before="120" w:after="180"/>
      <w:jc w:val="both"/>
      <w:outlineLvl w:val="2"/>
    </w:pPr>
    <w:rPr>
      <w:rFonts w:ascii="Times New Roman" w:hAnsi="Times New Roman" w:cs="Times New Roman"/>
      <w:b/>
      <w:sz w:val="22"/>
      <w:szCs w:val="22"/>
      <w:lang w:eastAsia="en-US"/>
    </w:rPr>
  </w:style>
  <w:style w:type="paragraph" w:styleId="Heading6">
    <w:name w:val="heading 6"/>
    <w:basedOn w:val="Normal"/>
    <w:link w:val="Heading6Char"/>
    <w:qFormat/>
    <w:rsid w:val="00C95E56"/>
    <w:pPr>
      <w:widowControl/>
      <w:numPr>
        <w:ilvl w:val="5"/>
        <w:numId w:val="8"/>
      </w:numPr>
      <w:spacing w:before="120" w:after="180"/>
      <w:jc w:val="both"/>
      <w:outlineLvl w:val="5"/>
    </w:pPr>
    <w:rPr>
      <w:rFonts w:ascii="Times New Roman" w:hAnsi="Times New Roman" w:cs="Times New Roman"/>
      <w:sz w:val="22"/>
      <w:szCs w:val="22"/>
      <w:lang w:eastAsia="en-US"/>
    </w:rPr>
  </w:style>
  <w:style w:type="paragraph" w:styleId="Heading7">
    <w:name w:val="heading 7"/>
    <w:basedOn w:val="Normal"/>
    <w:link w:val="Heading7Char"/>
    <w:qFormat/>
    <w:rsid w:val="00C95E56"/>
    <w:pPr>
      <w:widowControl/>
      <w:numPr>
        <w:ilvl w:val="6"/>
        <w:numId w:val="8"/>
      </w:numPr>
      <w:spacing w:before="120" w:after="180"/>
      <w:jc w:val="both"/>
      <w:outlineLvl w:val="6"/>
    </w:pPr>
    <w:rPr>
      <w:rFonts w:ascii="Times New Roman" w:hAnsi="Times New Roman" w:cs="Times New Roman"/>
      <w:sz w:val="22"/>
      <w:szCs w:val="22"/>
      <w:lang w:eastAsia="en-US"/>
    </w:rPr>
  </w:style>
  <w:style w:type="paragraph" w:styleId="Heading8">
    <w:name w:val="heading 8"/>
    <w:basedOn w:val="Normal"/>
    <w:link w:val="Heading8Char"/>
    <w:qFormat/>
    <w:rsid w:val="00C95E56"/>
    <w:pPr>
      <w:widowControl/>
      <w:numPr>
        <w:ilvl w:val="7"/>
        <w:numId w:val="8"/>
      </w:numPr>
      <w:spacing w:before="120" w:after="180"/>
      <w:jc w:val="both"/>
      <w:outlineLvl w:val="7"/>
    </w:pPr>
    <w:rPr>
      <w:rFonts w:ascii="Times New Roman" w:hAnsi="Times New Roman" w:cs="Times New Roman"/>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82FE5"/>
    <w:rPr>
      <w:sz w:val="20"/>
      <w:szCs w:val="20"/>
    </w:rPr>
  </w:style>
  <w:style w:type="character" w:customStyle="1" w:styleId="FootnoteTextChar">
    <w:name w:val="Footnote Text Char"/>
    <w:basedOn w:val="DefaultParagraphFont"/>
    <w:link w:val="FootnoteText"/>
    <w:uiPriority w:val="99"/>
    <w:rsid w:val="00B82FE5"/>
    <w:rPr>
      <w:rFonts w:ascii="Cambria" w:eastAsia="MS Mincho" w:hAnsi="Cambria" w:cs="Cambria"/>
      <w:sz w:val="20"/>
      <w:szCs w:val="20"/>
      <w:lang w:val="fr-FR" w:eastAsia="ar-SA"/>
    </w:rPr>
  </w:style>
  <w:style w:type="character" w:styleId="FootnoteReference">
    <w:name w:val="footnote reference"/>
    <w:uiPriority w:val="99"/>
    <w:rsid w:val="00B82FE5"/>
    <w:rPr>
      <w:vertAlign w:val="superscript"/>
    </w:rPr>
  </w:style>
  <w:style w:type="paragraph" w:styleId="Header">
    <w:name w:val="header"/>
    <w:basedOn w:val="Normal"/>
    <w:link w:val="HeaderChar"/>
    <w:uiPriority w:val="99"/>
    <w:unhideWhenUsed/>
    <w:rsid w:val="00B82FE5"/>
    <w:pPr>
      <w:tabs>
        <w:tab w:val="center" w:pos="4703"/>
        <w:tab w:val="right" w:pos="9406"/>
      </w:tabs>
    </w:pPr>
  </w:style>
  <w:style w:type="character" w:customStyle="1" w:styleId="HeaderChar">
    <w:name w:val="Header Char"/>
    <w:basedOn w:val="DefaultParagraphFont"/>
    <w:link w:val="Header"/>
    <w:uiPriority w:val="99"/>
    <w:rsid w:val="00B82FE5"/>
    <w:rPr>
      <w:rFonts w:ascii="Cambria" w:eastAsia="MS Mincho" w:hAnsi="Cambria" w:cs="Cambria"/>
      <w:sz w:val="24"/>
      <w:szCs w:val="24"/>
      <w:lang w:val="fr-FR" w:eastAsia="ar-SA"/>
    </w:rPr>
  </w:style>
  <w:style w:type="paragraph" w:styleId="Footer">
    <w:name w:val="footer"/>
    <w:basedOn w:val="Normal"/>
    <w:link w:val="FooterChar"/>
    <w:uiPriority w:val="99"/>
    <w:unhideWhenUsed/>
    <w:rsid w:val="00B82FE5"/>
    <w:pPr>
      <w:tabs>
        <w:tab w:val="center" w:pos="4703"/>
        <w:tab w:val="right" w:pos="9406"/>
      </w:tabs>
    </w:pPr>
  </w:style>
  <w:style w:type="character" w:customStyle="1" w:styleId="FooterChar">
    <w:name w:val="Footer Char"/>
    <w:basedOn w:val="DefaultParagraphFont"/>
    <w:link w:val="Footer"/>
    <w:uiPriority w:val="99"/>
    <w:rsid w:val="00B82FE5"/>
    <w:rPr>
      <w:rFonts w:ascii="Cambria" w:eastAsia="MS Mincho" w:hAnsi="Cambria" w:cs="Cambria"/>
      <w:sz w:val="24"/>
      <w:szCs w:val="24"/>
      <w:lang w:val="fr-FR" w:eastAsia="ar-SA"/>
    </w:rPr>
  </w:style>
  <w:style w:type="paragraph" w:customStyle="1" w:styleId="Textedesaisie">
    <w:name w:val="Texte de saisie"/>
    <w:basedOn w:val="Normal"/>
    <w:rsid w:val="00A75A35"/>
    <w:pPr>
      <w:spacing w:line="260" w:lineRule="atLeast"/>
      <w:jc w:val="both"/>
    </w:pPr>
    <w:rPr>
      <w:rFonts w:ascii="Arial" w:eastAsia="Times New Roman" w:hAnsi="Arial"/>
      <w:sz w:val="20"/>
      <w:szCs w:val="20"/>
    </w:rPr>
  </w:style>
  <w:style w:type="paragraph" w:styleId="ListParagraph">
    <w:name w:val="List Paragraph"/>
    <w:basedOn w:val="Normal"/>
    <w:uiPriority w:val="34"/>
    <w:qFormat/>
    <w:rsid w:val="00A75A35"/>
    <w:pPr>
      <w:ind w:left="708"/>
    </w:pPr>
  </w:style>
  <w:style w:type="character" w:styleId="Hyperlink">
    <w:name w:val="Hyperlink"/>
    <w:uiPriority w:val="99"/>
    <w:rsid w:val="00D936E4"/>
    <w:rPr>
      <w:rFonts w:cs="Times New Roman"/>
      <w:color w:val="0000FF"/>
      <w:u w:val="single"/>
    </w:rPr>
  </w:style>
  <w:style w:type="paragraph" w:styleId="EndnoteText">
    <w:name w:val="endnote text"/>
    <w:basedOn w:val="Normal"/>
    <w:link w:val="EndnoteTextChar"/>
    <w:uiPriority w:val="99"/>
    <w:unhideWhenUsed/>
    <w:rsid w:val="007519FA"/>
    <w:rPr>
      <w:sz w:val="20"/>
      <w:szCs w:val="20"/>
    </w:rPr>
  </w:style>
  <w:style w:type="character" w:customStyle="1" w:styleId="EndnoteTextChar">
    <w:name w:val="Endnote Text Char"/>
    <w:basedOn w:val="DefaultParagraphFont"/>
    <w:link w:val="EndnoteText"/>
    <w:uiPriority w:val="99"/>
    <w:rsid w:val="007519FA"/>
    <w:rPr>
      <w:rFonts w:ascii="Cambria" w:eastAsia="MS Mincho" w:hAnsi="Cambria" w:cs="Cambria"/>
      <w:sz w:val="20"/>
      <w:szCs w:val="20"/>
      <w:lang w:val="fr-FR" w:eastAsia="ar-SA"/>
    </w:rPr>
  </w:style>
  <w:style w:type="character" w:styleId="EndnoteReference">
    <w:name w:val="endnote reference"/>
    <w:basedOn w:val="DefaultParagraphFont"/>
    <w:uiPriority w:val="99"/>
    <w:semiHidden/>
    <w:unhideWhenUsed/>
    <w:rsid w:val="007519FA"/>
    <w:rPr>
      <w:vertAlign w:val="superscript"/>
    </w:rPr>
  </w:style>
  <w:style w:type="paragraph" w:styleId="BalloonText">
    <w:name w:val="Balloon Text"/>
    <w:basedOn w:val="Normal"/>
    <w:link w:val="BalloonTextChar"/>
    <w:uiPriority w:val="99"/>
    <w:semiHidden/>
    <w:unhideWhenUsed/>
    <w:rsid w:val="0087283E"/>
    <w:rPr>
      <w:rFonts w:ascii="Tahoma" w:hAnsi="Tahoma" w:cs="Tahoma"/>
      <w:sz w:val="16"/>
      <w:szCs w:val="16"/>
    </w:rPr>
  </w:style>
  <w:style w:type="character" w:customStyle="1" w:styleId="BalloonTextChar">
    <w:name w:val="Balloon Text Char"/>
    <w:basedOn w:val="DefaultParagraphFont"/>
    <w:link w:val="BalloonText"/>
    <w:uiPriority w:val="99"/>
    <w:semiHidden/>
    <w:rsid w:val="0087283E"/>
    <w:rPr>
      <w:rFonts w:ascii="Tahoma" w:eastAsia="MS Mincho" w:hAnsi="Tahoma" w:cs="Tahoma"/>
      <w:sz w:val="16"/>
      <w:szCs w:val="16"/>
      <w:lang w:val="fr-FR" w:eastAsia="ar-SA"/>
    </w:rPr>
  </w:style>
  <w:style w:type="paragraph" w:styleId="Revision">
    <w:name w:val="Revision"/>
    <w:hidden/>
    <w:uiPriority w:val="99"/>
    <w:semiHidden/>
    <w:rsid w:val="00DD3B9E"/>
    <w:pPr>
      <w:spacing w:after="0" w:line="240" w:lineRule="auto"/>
    </w:pPr>
    <w:rPr>
      <w:rFonts w:ascii="Cambria" w:eastAsia="MS Mincho" w:hAnsi="Cambria" w:cs="Cambria"/>
      <w:sz w:val="24"/>
      <w:szCs w:val="24"/>
      <w:lang w:val="fr-FR" w:eastAsia="ar-SA"/>
    </w:rPr>
  </w:style>
  <w:style w:type="paragraph" w:customStyle="1" w:styleId="Default">
    <w:name w:val="Default"/>
    <w:rsid w:val="00ED352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C95E56"/>
    <w:rPr>
      <w:rFonts w:ascii="Times New Roman" w:eastAsia="MS Mincho" w:hAnsi="Times New Roman" w:cs="Times New Roman"/>
      <w:b/>
      <w:bCs/>
      <w:caps/>
      <w:lang w:val="fr-FR"/>
    </w:rPr>
  </w:style>
  <w:style w:type="character" w:customStyle="1" w:styleId="Heading2Char">
    <w:name w:val="Heading 2 Char"/>
    <w:basedOn w:val="DefaultParagraphFont"/>
    <w:link w:val="Heading2"/>
    <w:rsid w:val="00C95E56"/>
    <w:rPr>
      <w:rFonts w:ascii="Times New Roman Bold" w:eastAsia="MS Mincho" w:hAnsi="Times New Roman Bold" w:cs="Times New Roman"/>
      <w:b/>
      <w:color w:val="000000" w:themeColor="text1"/>
      <w:lang w:val="fr-FR"/>
    </w:rPr>
  </w:style>
  <w:style w:type="character" w:customStyle="1" w:styleId="Heading3Char">
    <w:name w:val="Heading 3 Char"/>
    <w:basedOn w:val="DefaultParagraphFont"/>
    <w:link w:val="Heading3"/>
    <w:rsid w:val="00C95E56"/>
    <w:rPr>
      <w:rFonts w:ascii="Times New Roman" w:eastAsia="MS Mincho" w:hAnsi="Times New Roman" w:cs="Times New Roman"/>
      <w:b/>
      <w:lang w:val="fr-FR"/>
    </w:rPr>
  </w:style>
  <w:style w:type="character" w:customStyle="1" w:styleId="Heading6Char">
    <w:name w:val="Heading 6 Char"/>
    <w:basedOn w:val="DefaultParagraphFont"/>
    <w:link w:val="Heading6"/>
    <w:rsid w:val="00C95E56"/>
    <w:rPr>
      <w:rFonts w:ascii="Times New Roman" w:eastAsia="MS Mincho" w:hAnsi="Times New Roman" w:cs="Times New Roman"/>
      <w:lang w:val="fr-FR"/>
    </w:rPr>
  </w:style>
  <w:style w:type="character" w:customStyle="1" w:styleId="Heading7Char">
    <w:name w:val="Heading 7 Char"/>
    <w:basedOn w:val="DefaultParagraphFont"/>
    <w:link w:val="Heading7"/>
    <w:rsid w:val="00C95E56"/>
    <w:rPr>
      <w:rFonts w:ascii="Times New Roman" w:eastAsia="MS Mincho" w:hAnsi="Times New Roman" w:cs="Times New Roman"/>
      <w:lang w:val="fr-FR"/>
    </w:rPr>
  </w:style>
  <w:style w:type="character" w:customStyle="1" w:styleId="Heading8Char">
    <w:name w:val="Heading 8 Char"/>
    <w:basedOn w:val="DefaultParagraphFont"/>
    <w:link w:val="Heading8"/>
    <w:rsid w:val="00C95E56"/>
    <w:rPr>
      <w:rFonts w:ascii="Times New Roman" w:eastAsia="MS Mincho" w:hAnsi="Times New Roman" w:cs="Times New Roman"/>
      <w:color w:val="000000" w:themeColor="text1"/>
      <w:lang w:val="fr-FR"/>
    </w:rPr>
  </w:style>
  <w:style w:type="paragraph" w:styleId="NormalWeb">
    <w:name w:val="Normal (Web)"/>
    <w:basedOn w:val="Normal"/>
    <w:uiPriority w:val="99"/>
    <w:semiHidden/>
    <w:unhideWhenUsed/>
    <w:rsid w:val="001D0B80"/>
    <w:pPr>
      <w:widowControl/>
      <w:spacing w:before="100" w:beforeAutospacing="1" w:after="100" w:afterAutospacing="1"/>
    </w:pPr>
    <w:rPr>
      <w:rFonts w:ascii="Times New Roman" w:eastAsia="Times New Roman" w:hAnsi="Times New Roman" w:cs="Times New Roman"/>
      <w:lang w:val="en-US" w:eastAsia="en-US"/>
    </w:rPr>
  </w:style>
  <w:style w:type="character" w:customStyle="1" w:styleId="hps">
    <w:name w:val="hps"/>
    <w:basedOn w:val="DefaultParagraphFont"/>
    <w:rsid w:val="00D1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E5"/>
    <w:pPr>
      <w:widowControl w:val="0"/>
      <w:spacing w:after="0" w:line="240" w:lineRule="auto"/>
    </w:pPr>
    <w:rPr>
      <w:rFonts w:ascii="Cambria" w:eastAsia="MS Mincho" w:hAnsi="Cambria" w:cs="Cambria"/>
      <w:sz w:val="24"/>
      <w:szCs w:val="24"/>
      <w:lang w:val="fr-FR" w:eastAsia="ar-SA"/>
    </w:rPr>
  </w:style>
  <w:style w:type="paragraph" w:styleId="Titre1">
    <w:name w:val="heading 1"/>
    <w:basedOn w:val="Normal"/>
    <w:next w:val="Titre2"/>
    <w:link w:val="Titre1Car"/>
    <w:qFormat/>
    <w:rsid w:val="00C95E56"/>
    <w:pPr>
      <w:keepNext/>
      <w:keepLines/>
      <w:pageBreakBefore/>
      <w:numPr>
        <w:numId w:val="8"/>
      </w:numPr>
      <w:spacing w:before="120" w:after="180"/>
      <w:jc w:val="both"/>
      <w:outlineLvl w:val="0"/>
    </w:pPr>
    <w:rPr>
      <w:rFonts w:ascii="Times New Roman" w:hAnsi="Times New Roman" w:cs="Times New Roman"/>
      <w:b/>
      <w:bCs/>
      <w:caps/>
      <w:sz w:val="22"/>
      <w:szCs w:val="22"/>
      <w:lang w:eastAsia="en-US"/>
    </w:rPr>
  </w:style>
  <w:style w:type="paragraph" w:styleId="Titre2">
    <w:name w:val="heading 2"/>
    <w:basedOn w:val="Normal"/>
    <w:next w:val="Normal"/>
    <w:link w:val="Titre2Car"/>
    <w:qFormat/>
    <w:rsid w:val="00C95E56"/>
    <w:pPr>
      <w:widowControl/>
      <w:numPr>
        <w:ilvl w:val="1"/>
        <w:numId w:val="8"/>
      </w:numPr>
      <w:spacing w:before="120" w:after="180"/>
      <w:jc w:val="both"/>
      <w:outlineLvl w:val="1"/>
    </w:pPr>
    <w:rPr>
      <w:rFonts w:ascii="Times New Roman Bold" w:hAnsi="Times New Roman Bold" w:cs="Times New Roman"/>
      <w:b/>
      <w:color w:val="000000" w:themeColor="text1"/>
      <w:sz w:val="22"/>
      <w:szCs w:val="22"/>
      <w:lang w:eastAsia="en-US"/>
    </w:rPr>
  </w:style>
  <w:style w:type="paragraph" w:styleId="Titre3">
    <w:name w:val="heading 3"/>
    <w:basedOn w:val="Normal"/>
    <w:link w:val="Titre3Car"/>
    <w:qFormat/>
    <w:rsid w:val="00C95E56"/>
    <w:pPr>
      <w:widowControl/>
      <w:numPr>
        <w:ilvl w:val="2"/>
        <w:numId w:val="8"/>
      </w:numPr>
      <w:spacing w:before="120" w:after="180"/>
      <w:jc w:val="both"/>
      <w:outlineLvl w:val="2"/>
    </w:pPr>
    <w:rPr>
      <w:rFonts w:ascii="Times New Roman" w:hAnsi="Times New Roman" w:cs="Times New Roman"/>
      <w:b/>
      <w:sz w:val="22"/>
      <w:szCs w:val="22"/>
      <w:lang w:eastAsia="en-US"/>
    </w:rPr>
  </w:style>
  <w:style w:type="paragraph" w:styleId="Titre6">
    <w:name w:val="heading 6"/>
    <w:basedOn w:val="Normal"/>
    <w:link w:val="Titre6Car"/>
    <w:qFormat/>
    <w:rsid w:val="00C95E56"/>
    <w:pPr>
      <w:widowControl/>
      <w:numPr>
        <w:ilvl w:val="5"/>
        <w:numId w:val="8"/>
      </w:numPr>
      <w:spacing w:before="120" w:after="180"/>
      <w:jc w:val="both"/>
      <w:outlineLvl w:val="5"/>
    </w:pPr>
    <w:rPr>
      <w:rFonts w:ascii="Times New Roman" w:hAnsi="Times New Roman" w:cs="Times New Roman"/>
      <w:sz w:val="22"/>
      <w:szCs w:val="22"/>
      <w:lang w:eastAsia="en-US"/>
    </w:rPr>
  </w:style>
  <w:style w:type="paragraph" w:styleId="Titre7">
    <w:name w:val="heading 7"/>
    <w:basedOn w:val="Normal"/>
    <w:link w:val="Titre7Car"/>
    <w:qFormat/>
    <w:rsid w:val="00C95E56"/>
    <w:pPr>
      <w:widowControl/>
      <w:numPr>
        <w:ilvl w:val="6"/>
        <w:numId w:val="8"/>
      </w:numPr>
      <w:spacing w:before="120" w:after="180"/>
      <w:jc w:val="both"/>
      <w:outlineLvl w:val="6"/>
    </w:pPr>
    <w:rPr>
      <w:rFonts w:ascii="Times New Roman" w:hAnsi="Times New Roman" w:cs="Times New Roman"/>
      <w:sz w:val="22"/>
      <w:szCs w:val="22"/>
      <w:lang w:eastAsia="en-US"/>
    </w:rPr>
  </w:style>
  <w:style w:type="paragraph" w:styleId="Titre8">
    <w:name w:val="heading 8"/>
    <w:basedOn w:val="Normal"/>
    <w:link w:val="Titre8Car"/>
    <w:qFormat/>
    <w:rsid w:val="00C95E56"/>
    <w:pPr>
      <w:widowControl/>
      <w:numPr>
        <w:ilvl w:val="7"/>
        <w:numId w:val="8"/>
      </w:numPr>
      <w:spacing w:before="120" w:after="180"/>
      <w:jc w:val="both"/>
      <w:outlineLvl w:val="7"/>
    </w:pPr>
    <w:rPr>
      <w:rFonts w:ascii="Times New Roman" w:hAnsi="Times New Roman" w:cs="Times New Roman"/>
      <w:color w:val="000000" w:themeColor="tex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B82FE5"/>
    <w:rPr>
      <w:sz w:val="20"/>
      <w:szCs w:val="20"/>
    </w:rPr>
  </w:style>
  <w:style w:type="character" w:customStyle="1" w:styleId="NotedebasdepageCar">
    <w:name w:val="Note de bas de page Car"/>
    <w:basedOn w:val="Policepardfaut"/>
    <w:link w:val="Notedebasdepage"/>
    <w:uiPriority w:val="99"/>
    <w:rsid w:val="00B82FE5"/>
    <w:rPr>
      <w:rFonts w:ascii="Cambria" w:eastAsia="MS Mincho" w:hAnsi="Cambria" w:cs="Cambria"/>
      <w:sz w:val="20"/>
      <w:szCs w:val="20"/>
      <w:lang w:val="fr-FR" w:eastAsia="ar-SA"/>
    </w:rPr>
  </w:style>
  <w:style w:type="character" w:styleId="Appelnotedebasdep">
    <w:name w:val="footnote reference"/>
    <w:uiPriority w:val="99"/>
    <w:rsid w:val="00B82FE5"/>
    <w:rPr>
      <w:vertAlign w:val="superscript"/>
    </w:rPr>
  </w:style>
  <w:style w:type="paragraph" w:styleId="En-tte">
    <w:name w:val="header"/>
    <w:basedOn w:val="Normal"/>
    <w:link w:val="En-tteCar"/>
    <w:uiPriority w:val="99"/>
    <w:unhideWhenUsed/>
    <w:rsid w:val="00B82FE5"/>
    <w:pPr>
      <w:tabs>
        <w:tab w:val="center" w:pos="4703"/>
        <w:tab w:val="right" w:pos="9406"/>
      </w:tabs>
    </w:pPr>
  </w:style>
  <w:style w:type="character" w:customStyle="1" w:styleId="En-tteCar">
    <w:name w:val="En-tête Car"/>
    <w:basedOn w:val="Policepardfaut"/>
    <w:link w:val="En-tte"/>
    <w:uiPriority w:val="99"/>
    <w:rsid w:val="00B82FE5"/>
    <w:rPr>
      <w:rFonts w:ascii="Cambria" w:eastAsia="MS Mincho" w:hAnsi="Cambria" w:cs="Cambria"/>
      <w:sz w:val="24"/>
      <w:szCs w:val="24"/>
      <w:lang w:val="fr-FR" w:eastAsia="ar-SA"/>
    </w:rPr>
  </w:style>
  <w:style w:type="paragraph" w:styleId="Pieddepage">
    <w:name w:val="footer"/>
    <w:basedOn w:val="Normal"/>
    <w:link w:val="PieddepageCar"/>
    <w:uiPriority w:val="99"/>
    <w:unhideWhenUsed/>
    <w:rsid w:val="00B82FE5"/>
    <w:pPr>
      <w:tabs>
        <w:tab w:val="center" w:pos="4703"/>
        <w:tab w:val="right" w:pos="9406"/>
      </w:tabs>
    </w:pPr>
  </w:style>
  <w:style w:type="character" w:customStyle="1" w:styleId="PieddepageCar">
    <w:name w:val="Pied de page Car"/>
    <w:basedOn w:val="Policepardfaut"/>
    <w:link w:val="Pieddepage"/>
    <w:uiPriority w:val="99"/>
    <w:rsid w:val="00B82FE5"/>
    <w:rPr>
      <w:rFonts w:ascii="Cambria" w:eastAsia="MS Mincho" w:hAnsi="Cambria" w:cs="Cambria"/>
      <w:sz w:val="24"/>
      <w:szCs w:val="24"/>
      <w:lang w:val="fr-FR" w:eastAsia="ar-SA"/>
    </w:rPr>
  </w:style>
  <w:style w:type="paragraph" w:customStyle="1" w:styleId="Textedesaisie">
    <w:name w:val="Texte de saisie"/>
    <w:basedOn w:val="Normal"/>
    <w:rsid w:val="00A75A35"/>
    <w:pPr>
      <w:spacing w:line="260" w:lineRule="atLeast"/>
      <w:jc w:val="both"/>
    </w:pPr>
    <w:rPr>
      <w:rFonts w:ascii="Arial" w:eastAsia="Times New Roman" w:hAnsi="Arial"/>
      <w:sz w:val="20"/>
      <w:szCs w:val="20"/>
    </w:rPr>
  </w:style>
  <w:style w:type="paragraph" w:styleId="Paragraphedeliste">
    <w:name w:val="List Paragraph"/>
    <w:basedOn w:val="Normal"/>
    <w:uiPriority w:val="34"/>
    <w:qFormat/>
    <w:rsid w:val="00A75A35"/>
    <w:pPr>
      <w:ind w:left="708"/>
    </w:pPr>
  </w:style>
  <w:style w:type="character" w:styleId="Lienhypertexte">
    <w:name w:val="Hyperlink"/>
    <w:uiPriority w:val="99"/>
    <w:rsid w:val="00D936E4"/>
    <w:rPr>
      <w:rFonts w:cs="Times New Roman"/>
      <w:color w:val="0000FF"/>
      <w:u w:val="single"/>
    </w:rPr>
  </w:style>
  <w:style w:type="paragraph" w:styleId="Notedefin">
    <w:name w:val="endnote text"/>
    <w:basedOn w:val="Normal"/>
    <w:link w:val="NotedefinCar"/>
    <w:uiPriority w:val="99"/>
    <w:unhideWhenUsed/>
    <w:rsid w:val="007519FA"/>
    <w:rPr>
      <w:sz w:val="20"/>
      <w:szCs w:val="20"/>
    </w:rPr>
  </w:style>
  <w:style w:type="character" w:customStyle="1" w:styleId="NotedefinCar">
    <w:name w:val="Note de fin Car"/>
    <w:basedOn w:val="Policepardfaut"/>
    <w:link w:val="Notedefin"/>
    <w:uiPriority w:val="99"/>
    <w:rsid w:val="007519FA"/>
    <w:rPr>
      <w:rFonts w:ascii="Cambria" w:eastAsia="MS Mincho" w:hAnsi="Cambria" w:cs="Cambria"/>
      <w:sz w:val="20"/>
      <w:szCs w:val="20"/>
      <w:lang w:val="fr-FR" w:eastAsia="ar-SA"/>
    </w:rPr>
  </w:style>
  <w:style w:type="character" w:styleId="Appeldenotedefin">
    <w:name w:val="endnote reference"/>
    <w:basedOn w:val="Policepardfaut"/>
    <w:uiPriority w:val="99"/>
    <w:semiHidden/>
    <w:unhideWhenUsed/>
    <w:rsid w:val="007519FA"/>
    <w:rPr>
      <w:vertAlign w:val="superscript"/>
    </w:rPr>
  </w:style>
  <w:style w:type="paragraph" w:styleId="Textedebulles">
    <w:name w:val="Balloon Text"/>
    <w:basedOn w:val="Normal"/>
    <w:link w:val="TextedebullesCar"/>
    <w:uiPriority w:val="99"/>
    <w:semiHidden/>
    <w:unhideWhenUsed/>
    <w:rsid w:val="0087283E"/>
    <w:rPr>
      <w:rFonts w:ascii="Tahoma" w:hAnsi="Tahoma" w:cs="Tahoma"/>
      <w:sz w:val="16"/>
      <w:szCs w:val="16"/>
    </w:rPr>
  </w:style>
  <w:style w:type="character" w:customStyle="1" w:styleId="TextedebullesCar">
    <w:name w:val="Texte de bulles Car"/>
    <w:basedOn w:val="Policepardfaut"/>
    <w:link w:val="Textedebulles"/>
    <w:uiPriority w:val="99"/>
    <w:semiHidden/>
    <w:rsid w:val="0087283E"/>
    <w:rPr>
      <w:rFonts w:ascii="Tahoma" w:eastAsia="MS Mincho" w:hAnsi="Tahoma" w:cs="Tahoma"/>
      <w:sz w:val="16"/>
      <w:szCs w:val="16"/>
      <w:lang w:val="fr-FR" w:eastAsia="ar-SA"/>
    </w:rPr>
  </w:style>
  <w:style w:type="paragraph" w:styleId="Rvision">
    <w:name w:val="Revision"/>
    <w:hidden/>
    <w:uiPriority w:val="99"/>
    <w:semiHidden/>
    <w:rsid w:val="00DD3B9E"/>
    <w:pPr>
      <w:spacing w:after="0" w:line="240" w:lineRule="auto"/>
    </w:pPr>
    <w:rPr>
      <w:rFonts w:ascii="Cambria" w:eastAsia="MS Mincho" w:hAnsi="Cambria" w:cs="Cambria"/>
      <w:sz w:val="24"/>
      <w:szCs w:val="24"/>
      <w:lang w:val="fr-FR" w:eastAsia="ar-SA"/>
    </w:rPr>
  </w:style>
  <w:style w:type="paragraph" w:customStyle="1" w:styleId="Default">
    <w:name w:val="Default"/>
    <w:rsid w:val="00ED352E"/>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rsid w:val="00C95E56"/>
    <w:rPr>
      <w:rFonts w:ascii="Times New Roman" w:eastAsia="MS Mincho" w:hAnsi="Times New Roman" w:cs="Times New Roman"/>
      <w:b/>
      <w:bCs/>
      <w:caps/>
      <w:lang w:val="fr-FR"/>
    </w:rPr>
  </w:style>
  <w:style w:type="character" w:customStyle="1" w:styleId="Titre2Car">
    <w:name w:val="Titre 2 Car"/>
    <w:basedOn w:val="Policepardfaut"/>
    <w:link w:val="Titre2"/>
    <w:rsid w:val="00C95E56"/>
    <w:rPr>
      <w:rFonts w:ascii="Times New Roman Bold" w:eastAsia="MS Mincho" w:hAnsi="Times New Roman Bold" w:cs="Times New Roman"/>
      <w:b/>
      <w:color w:val="000000" w:themeColor="text1"/>
      <w:lang w:val="fr-FR"/>
    </w:rPr>
  </w:style>
  <w:style w:type="character" w:customStyle="1" w:styleId="Titre3Car">
    <w:name w:val="Titre 3 Car"/>
    <w:basedOn w:val="Policepardfaut"/>
    <w:link w:val="Titre3"/>
    <w:rsid w:val="00C95E56"/>
    <w:rPr>
      <w:rFonts w:ascii="Times New Roman" w:eastAsia="MS Mincho" w:hAnsi="Times New Roman" w:cs="Times New Roman"/>
      <w:b/>
      <w:lang w:val="fr-FR"/>
    </w:rPr>
  </w:style>
  <w:style w:type="character" w:customStyle="1" w:styleId="Titre6Car">
    <w:name w:val="Titre 6 Car"/>
    <w:basedOn w:val="Policepardfaut"/>
    <w:link w:val="Titre6"/>
    <w:rsid w:val="00C95E56"/>
    <w:rPr>
      <w:rFonts w:ascii="Times New Roman" w:eastAsia="MS Mincho" w:hAnsi="Times New Roman" w:cs="Times New Roman"/>
      <w:lang w:val="fr-FR"/>
    </w:rPr>
  </w:style>
  <w:style w:type="character" w:customStyle="1" w:styleId="Titre7Car">
    <w:name w:val="Titre 7 Car"/>
    <w:basedOn w:val="Policepardfaut"/>
    <w:link w:val="Titre7"/>
    <w:rsid w:val="00C95E56"/>
    <w:rPr>
      <w:rFonts w:ascii="Times New Roman" w:eastAsia="MS Mincho" w:hAnsi="Times New Roman" w:cs="Times New Roman"/>
      <w:lang w:val="fr-FR"/>
    </w:rPr>
  </w:style>
  <w:style w:type="character" w:customStyle="1" w:styleId="Titre8Car">
    <w:name w:val="Titre 8 Car"/>
    <w:basedOn w:val="Policepardfaut"/>
    <w:link w:val="Titre8"/>
    <w:rsid w:val="00C95E56"/>
    <w:rPr>
      <w:rFonts w:ascii="Times New Roman" w:eastAsia="MS Mincho" w:hAnsi="Times New Roman" w:cs="Times New Roman"/>
      <w:color w:val="000000" w:themeColor="text1"/>
      <w:lang w:val="fr-FR"/>
    </w:rPr>
  </w:style>
  <w:style w:type="paragraph" w:styleId="NormalWeb">
    <w:name w:val="Normal (Web)"/>
    <w:basedOn w:val="Normal"/>
    <w:uiPriority w:val="99"/>
    <w:semiHidden/>
    <w:unhideWhenUsed/>
    <w:rsid w:val="001D0B80"/>
    <w:pPr>
      <w:widowControl/>
      <w:spacing w:before="100" w:beforeAutospacing="1" w:after="100" w:afterAutospacing="1"/>
    </w:pPr>
    <w:rPr>
      <w:rFonts w:ascii="Times New Roman" w:eastAsia="Times New Roman" w:hAnsi="Times New Roman" w:cs="Times New Roman"/>
      <w:lang w:val="en-US" w:eastAsia="en-US"/>
    </w:rPr>
  </w:style>
  <w:style w:type="character" w:customStyle="1" w:styleId="hps">
    <w:name w:val="hps"/>
    <w:basedOn w:val="Policepardfaut"/>
    <w:rsid w:val="00D12858"/>
  </w:style>
</w:styles>
</file>

<file path=word/webSettings.xml><?xml version="1.0" encoding="utf-8"?>
<w:webSettings xmlns:r="http://schemas.openxmlformats.org/officeDocument/2006/relationships" xmlns:w="http://schemas.openxmlformats.org/wordprocessingml/2006/main">
  <w:divs>
    <w:div w:id="72624295">
      <w:bodyDiv w:val="1"/>
      <w:marLeft w:val="0"/>
      <w:marRight w:val="0"/>
      <w:marTop w:val="0"/>
      <w:marBottom w:val="0"/>
      <w:divBdr>
        <w:top w:val="none" w:sz="0" w:space="0" w:color="auto"/>
        <w:left w:val="none" w:sz="0" w:space="0" w:color="auto"/>
        <w:bottom w:val="none" w:sz="0" w:space="0" w:color="auto"/>
        <w:right w:val="none" w:sz="0" w:space="0" w:color="auto"/>
      </w:divBdr>
    </w:div>
    <w:div w:id="125859258">
      <w:bodyDiv w:val="1"/>
      <w:marLeft w:val="0"/>
      <w:marRight w:val="0"/>
      <w:marTop w:val="0"/>
      <w:marBottom w:val="0"/>
      <w:divBdr>
        <w:top w:val="none" w:sz="0" w:space="0" w:color="auto"/>
        <w:left w:val="none" w:sz="0" w:space="0" w:color="auto"/>
        <w:bottom w:val="none" w:sz="0" w:space="0" w:color="auto"/>
        <w:right w:val="none" w:sz="0" w:space="0" w:color="auto"/>
      </w:divBdr>
    </w:div>
    <w:div w:id="148135478">
      <w:bodyDiv w:val="1"/>
      <w:marLeft w:val="0"/>
      <w:marRight w:val="0"/>
      <w:marTop w:val="0"/>
      <w:marBottom w:val="0"/>
      <w:divBdr>
        <w:top w:val="none" w:sz="0" w:space="0" w:color="auto"/>
        <w:left w:val="none" w:sz="0" w:space="0" w:color="auto"/>
        <w:bottom w:val="none" w:sz="0" w:space="0" w:color="auto"/>
        <w:right w:val="none" w:sz="0" w:space="0" w:color="auto"/>
      </w:divBdr>
    </w:div>
    <w:div w:id="309360277">
      <w:bodyDiv w:val="1"/>
      <w:marLeft w:val="0"/>
      <w:marRight w:val="0"/>
      <w:marTop w:val="0"/>
      <w:marBottom w:val="0"/>
      <w:divBdr>
        <w:top w:val="none" w:sz="0" w:space="0" w:color="auto"/>
        <w:left w:val="none" w:sz="0" w:space="0" w:color="auto"/>
        <w:bottom w:val="none" w:sz="0" w:space="0" w:color="auto"/>
        <w:right w:val="none" w:sz="0" w:space="0" w:color="auto"/>
      </w:divBdr>
    </w:div>
    <w:div w:id="725223956">
      <w:bodyDiv w:val="1"/>
      <w:marLeft w:val="0"/>
      <w:marRight w:val="0"/>
      <w:marTop w:val="0"/>
      <w:marBottom w:val="0"/>
      <w:divBdr>
        <w:top w:val="none" w:sz="0" w:space="0" w:color="auto"/>
        <w:left w:val="none" w:sz="0" w:space="0" w:color="auto"/>
        <w:bottom w:val="none" w:sz="0" w:space="0" w:color="auto"/>
        <w:right w:val="none" w:sz="0" w:space="0" w:color="auto"/>
      </w:divBdr>
    </w:div>
    <w:div w:id="774133351">
      <w:bodyDiv w:val="1"/>
      <w:marLeft w:val="0"/>
      <w:marRight w:val="0"/>
      <w:marTop w:val="0"/>
      <w:marBottom w:val="0"/>
      <w:divBdr>
        <w:top w:val="none" w:sz="0" w:space="0" w:color="auto"/>
        <w:left w:val="none" w:sz="0" w:space="0" w:color="auto"/>
        <w:bottom w:val="none" w:sz="0" w:space="0" w:color="auto"/>
        <w:right w:val="none" w:sz="0" w:space="0" w:color="auto"/>
      </w:divBdr>
    </w:div>
    <w:div w:id="878979441">
      <w:bodyDiv w:val="1"/>
      <w:marLeft w:val="0"/>
      <w:marRight w:val="0"/>
      <w:marTop w:val="0"/>
      <w:marBottom w:val="0"/>
      <w:divBdr>
        <w:top w:val="none" w:sz="0" w:space="0" w:color="auto"/>
        <w:left w:val="none" w:sz="0" w:space="0" w:color="auto"/>
        <w:bottom w:val="none" w:sz="0" w:space="0" w:color="auto"/>
        <w:right w:val="none" w:sz="0" w:space="0" w:color="auto"/>
      </w:divBdr>
    </w:div>
    <w:div w:id="980503684">
      <w:bodyDiv w:val="1"/>
      <w:marLeft w:val="0"/>
      <w:marRight w:val="0"/>
      <w:marTop w:val="0"/>
      <w:marBottom w:val="0"/>
      <w:divBdr>
        <w:top w:val="none" w:sz="0" w:space="0" w:color="auto"/>
        <w:left w:val="none" w:sz="0" w:space="0" w:color="auto"/>
        <w:bottom w:val="none" w:sz="0" w:space="0" w:color="auto"/>
        <w:right w:val="none" w:sz="0" w:space="0" w:color="auto"/>
      </w:divBdr>
    </w:div>
    <w:div w:id="1174296670">
      <w:bodyDiv w:val="1"/>
      <w:marLeft w:val="0"/>
      <w:marRight w:val="0"/>
      <w:marTop w:val="0"/>
      <w:marBottom w:val="0"/>
      <w:divBdr>
        <w:top w:val="none" w:sz="0" w:space="0" w:color="auto"/>
        <w:left w:val="none" w:sz="0" w:space="0" w:color="auto"/>
        <w:bottom w:val="none" w:sz="0" w:space="0" w:color="auto"/>
        <w:right w:val="none" w:sz="0" w:space="0" w:color="auto"/>
      </w:divBdr>
    </w:div>
    <w:div w:id="1232740598">
      <w:bodyDiv w:val="1"/>
      <w:marLeft w:val="0"/>
      <w:marRight w:val="0"/>
      <w:marTop w:val="0"/>
      <w:marBottom w:val="0"/>
      <w:divBdr>
        <w:top w:val="none" w:sz="0" w:space="0" w:color="auto"/>
        <w:left w:val="none" w:sz="0" w:space="0" w:color="auto"/>
        <w:bottom w:val="none" w:sz="0" w:space="0" w:color="auto"/>
        <w:right w:val="none" w:sz="0" w:space="0" w:color="auto"/>
      </w:divBdr>
    </w:div>
    <w:div w:id="1236011325">
      <w:bodyDiv w:val="1"/>
      <w:marLeft w:val="0"/>
      <w:marRight w:val="0"/>
      <w:marTop w:val="0"/>
      <w:marBottom w:val="0"/>
      <w:divBdr>
        <w:top w:val="none" w:sz="0" w:space="0" w:color="auto"/>
        <w:left w:val="none" w:sz="0" w:space="0" w:color="auto"/>
        <w:bottom w:val="none" w:sz="0" w:space="0" w:color="auto"/>
        <w:right w:val="none" w:sz="0" w:space="0" w:color="auto"/>
      </w:divBdr>
    </w:div>
    <w:div w:id="1654412967">
      <w:bodyDiv w:val="1"/>
      <w:marLeft w:val="0"/>
      <w:marRight w:val="0"/>
      <w:marTop w:val="0"/>
      <w:marBottom w:val="0"/>
      <w:divBdr>
        <w:top w:val="none" w:sz="0" w:space="0" w:color="auto"/>
        <w:left w:val="none" w:sz="0" w:space="0" w:color="auto"/>
        <w:bottom w:val="none" w:sz="0" w:space="0" w:color="auto"/>
        <w:right w:val="none" w:sz="0" w:space="0" w:color="auto"/>
      </w:divBdr>
    </w:div>
    <w:div w:id="1668484496">
      <w:bodyDiv w:val="1"/>
      <w:marLeft w:val="0"/>
      <w:marRight w:val="0"/>
      <w:marTop w:val="0"/>
      <w:marBottom w:val="0"/>
      <w:divBdr>
        <w:top w:val="none" w:sz="0" w:space="0" w:color="auto"/>
        <w:left w:val="none" w:sz="0" w:space="0" w:color="auto"/>
        <w:bottom w:val="none" w:sz="0" w:space="0" w:color="auto"/>
        <w:right w:val="none" w:sz="0" w:space="0" w:color="auto"/>
      </w:divBdr>
    </w:div>
    <w:div w:id="1670675634">
      <w:bodyDiv w:val="1"/>
      <w:marLeft w:val="0"/>
      <w:marRight w:val="0"/>
      <w:marTop w:val="0"/>
      <w:marBottom w:val="0"/>
      <w:divBdr>
        <w:top w:val="none" w:sz="0" w:space="0" w:color="auto"/>
        <w:left w:val="none" w:sz="0" w:space="0" w:color="auto"/>
        <w:bottom w:val="none" w:sz="0" w:space="0" w:color="auto"/>
        <w:right w:val="none" w:sz="0" w:space="0" w:color="auto"/>
      </w:divBdr>
    </w:div>
    <w:div w:id="169268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face.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s@cofa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nica.coull@cofac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4382-4091-45DD-BA4B-D7CEB7DB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2168</Words>
  <Characters>12362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COFACE</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COMBEAU Cecile</dc:creator>
  <cp:lastModifiedBy>User</cp:lastModifiedBy>
  <cp:revision>2</cp:revision>
  <cp:lastPrinted>2016-02-09T16:02:00Z</cp:lastPrinted>
  <dcterms:created xsi:type="dcterms:W3CDTF">2016-02-12T00:15:00Z</dcterms:created>
  <dcterms:modified xsi:type="dcterms:W3CDTF">2016-02-12T00:15:00Z</dcterms:modified>
</cp:coreProperties>
</file>